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28" w:rsidRPr="0012562A" w:rsidRDefault="00722228" w:rsidP="00722228">
      <w:pPr>
        <w:pStyle w:val="Tekstpodstawowy"/>
        <w:rPr>
          <w:rFonts w:asciiTheme="minorHAnsi" w:hAnsiTheme="minorHAnsi" w:cstheme="minorHAnsi"/>
          <w:color w:val="FF0000"/>
        </w:rPr>
      </w:pPr>
    </w:p>
    <w:p w:rsidR="00722228" w:rsidRPr="0012562A" w:rsidRDefault="00722228" w:rsidP="00722228">
      <w:pPr>
        <w:widowControl w:val="0"/>
        <w:autoSpaceDE w:val="0"/>
        <w:autoSpaceDN w:val="0"/>
        <w:jc w:val="center"/>
        <w:rPr>
          <w:rFonts w:eastAsia="Arial" w:cstheme="minorHAnsi"/>
          <w:b/>
          <w:bCs/>
          <w:sz w:val="20"/>
          <w:szCs w:val="20"/>
          <w:lang w:bidi="pl-PL"/>
        </w:rPr>
      </w:pPr>
      <w:r w:rsidRPr="0012562A">
        <w:rPr>
          <w:rFonts w:eastAsia="Arial" w:cstheme="minorHAnsi"/>
          <w:b/>
          <w:bCs/>
          <w:sz w:val="20"/>
          <w:szCs w:val="20"/>
          <w:lang w:bidi="pl-PL"/>
        </w:rPr>
        <w:t xml:space="preserve">Zapytanie ofertowe nr </w:t>
      </w:r>
      <w:r w:rsidRPr="0012562A">
        <w:rPr>
          <w:rFonts w:cstheme="minorHAnsi"/>
          <w:b/>
          <w:bCs/>
          <w:sz w:val="20"/>
          <w:szCs w:val="20"/>
        </w:rPr>
        <w:t xml:space="preserve">1/PBAR/2023 </w:t>
      </w:r>
      <w:r w:rsidRPr="0012562A">
        <w:rPr>
          <w:rFonts w:eastAsia="Arial" w:cstheme="minorHAnsi"/>
          <w:b/>
          <w:bCs/>
          <w:sz w:val="20"/>
          <w:szCs w:val="20"/>
          <w:lang w:bidi="pl-PL"/>
        </w:rPr>
        <w:t>dotyczące dostawy środków trwałych</w:t>
      </w:r>
    </w:p>
    <w:p w:rsidR="00722228" w:rsidRPr="0012562A" w:rsidRDefault="00722228" w:rsidP="00722228">
      <w:pPr>
        <w:widowControl w:val="0"/>
        <w:autoSpaceDE w:val="0"/>
        <w:autoSpaceDN w:val="0"/>
        <w:jc w:val="center"/>
        <w:rPr>
          <w:rFonts w:eastAsia="Arial" w:cstheme="minorHAnsi"/>
          <w:b/>
          <w:bCs/>
          <w:sz w:val="20"/>
          <w:szCs w:val="20"/>
          <w:lang w:bidi="pl-PL"/>
        </w:rPr>
      </w:pPr>
    </w:p>
    <w:p w:rsidR="00722228" w:rsidRPr="0012562A" w:rsidRDefault="00722228" w:rsidP="00722228">
      <w:pPr>
        <w:tabs>
          <w:tab w:val="left" w:pos="355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2562A">
        <w:rPr>
          <w:rFonts w:cstheme="minorHAnsi"/>
          <w:b/>
          <w:color w:val="000000" w:themeColor="text1"/>
          <w:sz w:val="20"/>
          <w:szCs w:val="20"/>
        </w:rPr>
        <w:t xml:space="preserve">Zakup jest planowany w ramach Projektu pt. </w:t>
      </w:r>
    </w:p>
    <w:p w:rsidR="00722228" w:rsidRPr="0012562A" w:rsidRDefault="00722228" w:rsidP="00722228">
      <w:pPr>
        <w:pStyle w:val="NormalnyWeb"/>
        <w:jc w:val="center"/>
        <w:rPr>
          <w:rFonts w:asciiTheme="minorHAnsi" w:hAnsiTheme="minorHAnsi" w:cstheme="minorHAnsi"/>
          <w:sz w:val="20"/>
          <w:szCs w:val="20"/>
        </w:rPr>
      </w:pPr>
      <w:r w:rsidRPr="0012562A">
        <w:rPr>
          <w:rFonts w:asciiTheme="minorHAnsi" w:hAnsiTheme="minorHAnsi" w:cstheme="minorHAnsi"/>
          <w:b/>
          <w:sz w:val="20"/>
          <w:szCs w:val="20"/>
        </w:rPr>
        <w:t>„</w:t>
      </w:r>
      <w:r w:rsidRPr="0012562A">
        <w:rPr>
          <w:rFonts w:asciiTheme="minorHAnsi" w:hAnsiTheme="minorHAnsi" w:cstheme="minorHAnsi"/>
          <w:b/>
          <w:bCs/>
          <w:sz w:val="20"/>
          <w:szCs w:val="20"/>
        </w:rPr>
        <w:t>Inwestycja w środki trwałe w celu zmniejszenia negatywnych skutków brexit w przedsiębiorstwie Mardruk Opakowania Sp. zo.o. Sp.k. ”</w:t>
      </w:r>
      <w:r w:rsidRPr="0012562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2562A">
        <w:rPr>
          <w:rFonts w:asciiTheme="minorHAnsi" w:hAnsiTheme="minorHAnsi" w:cstheme="minorHAnsi"/>
          <w:sz w:val="20"/>
          <w:szCs w:val="20"/>
        </w:rPr>
        <w:t>nr PBAR.02.01.00-00-0397/23 współfinansowanego przez Unię Europejską w ramach:</w:t>
      </w:r>
    </w:p>
    <w:p w:rsidR="00722228" w:rsidRPr="0012562A" w:rsidRDefault="00722228" w:rsidP="00722228">
      <w:pPr>
        <w:pStyle w:val="NormalnyWeb"/>
        <w:jc w:val="center"/>
        <w:rPr>
          <w:rFonts w:asciiTheme="minorHAnsi" w:hAnsiTheme="minorHAnsi" w:cstheme="minorHAnsi"/>
          <w:sz w:val="20"/>
          <w:szCs w:val="20"/>
        </w:rPr>
      </w:pPr>
      <w:r w:rsidRPr="0012562A">
        <w:rPr>
          <w:rFonts w:asciiTheme="minorHAnsi" w:hAnsiTheme="minorHAnsi" w:cstheme="minorHAnsi"/>
          <w:sz w:val="20"/>
          <w:szCs w:val="20"/>
        </w:rPr>
        <w:t>Działanie:</w:t>
      </w:r>
      <w:r w:rsidRPr="0012562A">
        <w:rPr>
          <w:rFonts w:asciiTheme="minorHAnsi" w:hAnsiTheme="minorHAnsi" w:cstheme="minorHAnsi"/>
          <w:sz w:val="20"/>
          <w:szCs w:val="20"/>
        </w:rPr>
        <w:br/>
        <w:t>PBAR.02.01.00 Działania mające na celu wsparcie przedsiębiorstw prywatnych i publicznych, w szczególności MŚP, osób samozatrudnionych, lokalnych społeczności i organizacji, które zostały niekorzystnie dotknięte skutkami wystąpienia Zjednoczonego Królestwa z Unii</w:t>
      </w:r>
    </w:p>
    <w:p w:rsidR="00722228" w:rsidRPr="0012562A" w:rsidRDefault="00722228" w:rsidP="00722228">
      <w:pPr>
        <w:pStyle w:val="NormalnyWeb"/>
        <w:jc w:val="center"/>
        <w:rPr>
          <w:rFonts w:asciiTheme="minorHAnsi" w:hAnsiTheme="minorHAnsi" w:cstheme="minorHAnsi"/>
          <w:sz w:val="20"/>
          <w:szCs w:val="20"/>
        </w:rPr>
      </w:pPr>
      <w:r w:rsidRPr="0012562A">
        <w:rPr>
          <w:rFonts w:asciiTheme="minorHAnsi" w:hAnsiTheme="minorHAnsi" w:cstheme="minorHAnsi"/>
          <w:sz w:val="20"/>
          <w:szCs w:val="20"/>
        </w:rPr>
        <w:t>Program Operacyjny:</w:t>
      </w:r>
      <w:r w:rsidRPr="0012562A">
        <w:rPr>
          <w:rFonts w:asciiTheme="minorHAnsi" w:hAnsiTheme="minorHAnsi" w:cstheme="minorHAnsi"/>
          <w:sz w:val="20"/>
          <w:szCs w:val="20"/>
        </w:rPr>
        <w:br/>
        <w:t>PBAR.00.00.00 Pobrexitowa rezerwa dostosowawcza</w:t>
      </w:r>
    </w:p>
    <w:p w:rsidR="00722228" w:rsidRPr="0012562A" w:rsidRDefault="00722228" w:rsidP="00722228">
      <w:pPr>
        <w:pStyle w:val="NormalnyWeb"/>
        <w:jc w:val="center"/>
        <w:rPr>
          <w:rFonts w:asciiTheme="minorHAnsi" w:hAnsiTheme="minorHAnsi" w:cstheme="minorHAnsi"/>
          <w:sz w:val="20"/>
          <w:szCs w:val="20"/>
        </w:rPr>
      </w:pPr>
      <w:r w:rsidRPr="0012562A">
        <w:rPr>
          <w:rFonts w:asciiTheme="minorHAnsi" w:hAnsiTheme="minorHAnsi" w:cstheme="minorHAnsi"/>
          <w:sz w:val="20"/>
          <w:szCs w:val="20"/>
        </w:rPr>
        <w:t>Oś priorytetowa: PBAR.02.00.00 Przedsiębiorcy</w:t>
      </w:r>
    </w:p>
    <w:p w:rsidR="00722228" w:rsidRPr="0012562A" w:rsidRDefault="00722228" w:rsidP="00722228">
      <w:pPr>
        <w:widowControl w:val="0"/>
        <w:autoSpaceDE w:val="0"/>
        <w:autoSpaceDN w:val="0"/>
        <w:jc w:val="center"/>
        <w:rPr>
          <w:rFonts w:eastAsia="Arial" w:cstheme="minorHAnsi"/>
          <w:sz w:val="20"/>
          <w:szCs w:val="20"/>
          <w:lang w:bidi="pl-PL"/>
        </w:rPr>
      </w:pPr>
    </w:p>
    <w:p w:rsidR="00722228" w:rsidRPr="0012562A" w:rsidRDefault="00722228" w:rsidP="0072222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rebuchet MS" w:cstheme="minorHAnsi"/>
          <w:b/>
          <w:sz w:val="20"/>
          <w:szCs w:val="20"/>
          <w:lang w:eastAsia="pl-PL" w:bidi="pl-PL"/>
        </w:rPr>
      </w:pPr>
      <w:r w:rsidRPr="0012562A">
        <w:rPr>
          <w:rFonts w:eastAsia="Trebuchet MS" w:cstheme="minorHAnsi"/>
          <w:b/>
          <w:sz w:val="20"/>
          <w:szCs w:val="20"/>
          <w:lang w:eastAsia="pl-PL" w:bidi="pl-PL"/>
        </w:rPr>
        <w:t>Dane Zamawiającego:</w:t>
      </w:r>
    </w:p>
    <w:p w:rsidR="00722228" w:rsidRPr="0012562A" w:rsidRDefault="00722228" w:rsidP="00722228">
      <w:pPr>
        <w:widowControl w:val="0"/>
        <w:autoSpaceDE w:val="0"/>
        <w:autoSpaceDN w:val="0"/>
        <w:spacing w:after="0" w:line="240" w:lineRule="auto"/>
        <w:ind w:left="720"/>
        <w:rPr>
          <w:rFonts w:eastAsia="Trebuchet MS" w:cstheme="minorHAnsi"/>
          <w:b/>
          <w:sz w:val="20"/>
          <w:szCs w:val="20"/>
          <w:lang w:eastAsia="pl-PL" w:bidi="pl-PL"/>
        </w:rPr>
      </w:pPr>
    </w:p>
    <w:tbl>
      <w:tblPr>
        <w:tblStyle w:val="TableNormal"/>
        <w:tblW w:w="9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135"/>
      </w:tblGrid>
      <w:tr w:rsidR="00722228" w:rsidRPr="0012562A" w:rsidTr="008C0DE3">
        <w:trPr>
          <w:trHeight w:val="381"/>
          <w:jc w:val="center"/>
        </w:trPr>
        <w:tc>
          <w:tcPr>
            <w:tcW w:w="2263" w:type="dxa"/>
            <w:shd w:val="clear" w:color="auto" w:fill="D9D9D9"/>
          </w:tcPr>
          <w:p w:rsidR="00722228" w:rsidRPr="0012562A" w:rsidRDefault="00722228" w:rsidP="008C0DE3">
            <w:pPr>
              <w:spacing w:before="1"/>
              <w:ind w:left="107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Nazwa Zamawiającego</w:t>
            </w:r>
          </w:p>
        </w:tc>
        <w:tc>
          <w:tcPr>
            <w:tcW w:w="7135" w:type="dxa"/>
          </w:tcPr>
          <w:p w:rsidR="00722228" w:rsidRPr="0012562A" w:rsidRDefault="00722228" w:rsidP="008C0DE3">
            <w:pPr>
              <w:ind w:left="142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>MARDRUK OPAKOWANIA Sp. z o.o. Sp.K.</w:t>
            </w:r>
          </w:p>
        </w:tc>
      </w:tr>
      <w:tr w:rsidR="00722228" w:rsidRPr="0012562A" w:rsidTr="008C0DE3">
        <w:trPr>
          <w:trHeight w:val="516"/>
          <w:jc w:val="center"/>
        </w:trPr>
        <w:tc>
          <w:tcPr>
            <w:tcW w:w="2263" w:type="dxa"/>
            <w:shd w:val="clear" w:color="auto" w:fill="D9D9D9"/>
          </w:tcPr>
          <w:p w:rsidR="00722228" w:rsidRPr="0012562A" w:rsidRDefault="00722228" w:rsidP="008C0DE3">
            <w:pPr>
              <w:spacing w:before="1"/>
              <w:ind w:left="107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Adres siedziby</w:t>
            </w:r>
          </w:p>
        </w:tc>
        <w:tc>
          <w:tcPr>
            <w:tcW w:w="7135" w:type="dxa"/>
          </w:tcPr>
          <w:p w:rsidR="00722228" w:rsidRPr="0012562A" w:rsidRDefault="00722228" w:rsidP="008C0DE3">
            <w:pPr>
              <w:ind w:left="142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>ul. Krakowska 83C, 34-120 Andrychów</w:t>
            </w:r>
          </w:p>
        </w:tc>
      </w:tr>
      <w:tr w:rsidR="00722228" w:rsidRPr="0012562A" w:rsidTr="008C0DE3">
        <w:trPr>
          <w:trHeight w:val="244"/>
          <w:jc w:val="center"/>
        </w:trPr>
        <w:tc>
          <w:tcPr>
            <w:tcW w:w="2263" w:type="dxa"/>
            <w:shd w:val="clear" w:color="auto" w:fill="D9D9D9"/>
          </w:tcPr>
          <w:p w:rsidR="00722228" w:rsidRPr="0012562A" w:rsidRDefault="00722228" w:rsidP="008C0DE3">
            <w:pPr>
              <w:spacing w:before="1" w:line="223" w:lineRule="exact"/>
              <w:ind w:left="107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NIP</w:t>
            </w:r>
          </w:p>
        </w:tc>
        <w:tc>
          <w:tcPr>
            <w:tcW w:w="7135" w:type="dxa"/>
          </w:tcPr>
          <w:p w:rsidR="00722228" w:rsidRPr="0012562A" w:rsidRDefault="00722228" w:rsidP="008C0DE3">
            <w:pPr>
              <w:ind w:left="142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>5512620978</w:t>
            </w:r>
          </w:p>
        </w:tc>
      </w:tr>
      <w:tr w:rsidR="00722228" w:rsidRPr="0012562A" w:rsidTr="008C0DE3">
        <w:trPr>
          <w:trHeight w:val="486"/>
          <w:jc w:val="center"/>
        </w:trPr>
        <w:tc>
          <w:tcPr>
            <w:tcW w:w="2263" w:type="dxa"/>
            <w:shd w:val="clear" w:color="auto" w:fill="D9D9D9"/>
          </w:tcPr>
          <w:p w:rsidR="00722228" w:rsidRPr="0012562A" w:rsidRDefault="00722228" w:rsidP="008C0DE3">
            <w:pPr>
              <w:spacing w:before="1"/>
              <w:ind w:left="107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Osoba do kontaktu w</w:t>
            </w:r>
          </w:p>
          <w:p w:rsidR="00722228" w:rsidRPr="0012562A" w:rsidRDefault="00722228" w:rsidP="008C0DE3">
            <w:pPr>
              <w:spacing w:before="13" w:line="220" w:lineRule="exact"/>
              <w:ind w:left="107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sprawie zapytania</w:t>
            </w:r>
          </w:p>
        </w:tc>
        <w:tc>
          <w:tcPr>
            <w:tcW w:w="7135" w:type="dxa"/>
            <w:vAlign w:val="center"/>
          </w:tcPr>
          <w:p w:rsidR="00722228" w:rsidRPr="0012562A" w:rsidRDefault="00722228" w:rsidP="008C0DE3">
            <w:pPr>
              <w:ind w:left="142"/>
              <w:rPr>
                <w:rFonts w:eastAsia="Arial" w:cstheme="minorHAnsi"/>
                <w:sz w:val="20"/>
                <w:szCs w:val="20"/>
                <w:highlight w:val="green"/>
                <w:lang w:val="pl-PL" w:eastAsia="pl-PL" w:bidi="pl-PL"/>
              </w:rPr>
            </w:pPr>
            <w:r w:rsidRPr="0012562A">
              <w:rPr>
                <w:rFonts w:cstheme="minorHAnsi"/>
                <w:sz w:val="20"/>
                <w:szCs w:val="20"/>
              </w:rPr>
              <w:t>Marcin Okręglicki</w:t>
            </w:r>
          </w:p>
        </w:tc>
      </w:tr>
      <w:tr w:rsidR="00722228" w:rsidRPr="0012562A" w:rsidTr="008C0DE3">
        <w:trPr>
          <w:trHeight w:val="244"/>
          <w:jc w:val="center"/>
        </w:trPr>
        <w:tc>
          <w:tcPr>
            <w:tcW w:w="2263" w:type="dxa"/>
            <w:shd w:val="clear" w:color="auto" w:fill="D9D9D9"/>
          </w:tcPr>
          <w:p w:rsidR="00722228" w:rsidRPr="0012562A" w:rsidRDefault="00722228" w:rsidP="008C0DE3">
            <w:pPr>
              <w:spacing w:before="4" w:line="220" w:lineRule="exact"/>
              <w:ind w:left="107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Nr telefonu</w:t>
            </w:r>
          </w:p>
        </w:tc>
        <w:tc>
          <w:tcPr>
            <w:tcW w:w="7135" w:type="dxa"/>
          </w:tcPr>
          <w:p w:rsidR="00722228" w:rsidRPr="0012562A" w:rsidRDefault="00722228" w:rsidP="008C0DE3">
            <w:pPr>
              <w:ind w:left="142"/>
              <w:rPr>
                <w:rFonts w:eastAsia="Arial" w:cstheme="minorHAnsi"/>
                <w:sz w:val="20"/>
                <w:szCs w:val="20"/>
                <w:highlight w:val="green"/>
                <w:lang w:val="pl-PL" w:eastAsia="pl-PL" w:bidi="pl-PL"/>
              </w:rPr>
            </w:pPr>
            <w:r w:rsidRPr="0012562A">
              <w:rPr>
                <w:rFonts w:cstheme="minorHAnsi"/>
                <w:sz w:val="20"/>
                <w:szCs w:val="20"/>
              </w:rPr>
              <w:t xml:space="preserve">884 807 477 </w:t>
            </w:r>
          </w:p>
        </w:tc>
      </w:tr>
      <w:tr w:rsidR="00722228" w:rsidRPr="0012562A" w:rsidTr="008C0DE3">
        <w:trPr>
          <w:trHeight w:val="70"/>
          <w:jc w:val="center"/>
        </w:trPr>
        <w:tc>
          <w:tcPr>
            <w:tcW w:w="2263" w:type="dxa"/>
            <w:shd w:val="clear" w:color="auto" w:fill="D9D9D9"/>
          </w:tcPr>
          <w:p w:rsidR="00722228" w:rsidRPr="0012562A" w:rsidRDefault="00722228" w:rsidP="008C0DE3">
            <w:pPr>
              <w:spacing w:before="1"/>
              <w:ind w:left="107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Adres e-mail</w:t>
            </w:r>
          </w:p>
        </w:tc>
        <w:tc>
          <w:tcPr>
            <w:tcW w:w="7135" w:type="dxa"/>
          </w:tcPr>
          <w:p w:rsidR="00722228" w:rsidRPr="0012562A" w:rsidRDefault="00722228" w:rsidP="008C0DE3">
            <w:pPr>
              <w:ind w:left="142"/>
              <w:rPr>
                <w:rFonts w:eastAsia="Arial" w:cstheme="minorHAnsi"/>
                <w:sz w:val="20"/>
                <w:szCs w:val="20"/>
                <w:highlight w:val="green"/>
                <w:lang w:val="pl-PL" w:eastAsia="pl-PL" w:bidi="pl-PL"/>
              </w:rPr>
            </w:pPr>
            <w:r w:rsidRPr="0012562A">
              <w:rPr>
                <w:rFonts w:cstheme="minorHAnsi"/>
                <w:sz w:val="20"/>
                <w:szCs w:val="20"/>
              </w:rPr>
              <w:t>marcin@mardrukopakowania.pl</w:t>
            </w:r>
          </w:p>
        </w:tc>
      </w:tr>
    </w:tbl>
    <w:p w:rsidR="00722228" w:rsidRPr="0012562A" w:rsidRDefault="00722228" w:rsidP="00722228">
      <w:pPr>
        <w:widowControl w:val="0"/>
        <w:autoSpaceDE w:val="0"/>
        <w:autoSpaceDN w:val="0"/>
        <w:spacing w:before="11" w:after="0" w:line="240" w:lineRule="auto"/>
        <w:rPr>
          <w:rFonts w:eastAsia="Arial" w:cstheme="minorHAnsi"/>
          <w:b/>
          <w:color w:val="FF0000"/>
          <w:sz w:val="20"/>
          <w:szCs w:val="20"/>
          <w:lang w:eastAsia="pl-PL" w:bidi="pl-PL"/>
        </w:rPr>
      </w:pPr>
    </w:p>
    <w:p w:rsidR="00722228" w:rsidRPr="0012562A" w:rsidRDefault="00722228" w:rsidP="0072222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357"/>
        <w:rPr>
          <w:rFonts w:eastAsia="Trebuchet MS" w:cstheme="minorHAnsi"/>
          <w:b/>
          <w:sz w:val="20"/>
          <w:szCs w:val="20"/>
          <w:lang w:eastAsia="pl-PL" w:bidi="pl-PL"/>
        </w:rPr>
      </w:pPr>
      <w:r w:rsidRPr="0012562A">
        <w:rPr>
          <w:rFonts w:eastAsia="Trebuchet MS" w:cstheme="minorHAnsi"/>
          <w:b/>
          <w:sz w:val="20"/>
          <w:szCs w:val="20"/>
          <w:lang w:eastAsia="pl-PL" w:bidi="pl-PL"/>
        </w:rPr>
        <w:t>Dane dotyczące zamówienia:</w:t>
      </w:r>
    </w:p>
    <w:tbl>
      <w:tblPr>
        <w:tblStyle w:val="TableNormal"/>
        <w:tblW w:w="9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7087"/>
      </w:tblGrid>
      <w:tr w:rsidR="00722228" w:rsidRPr="0012562A" w:rsidTr="008C0DE3">
        <w:trPr>
          <w:cantSplit/>
          <w:trHeight w:val="2532"/>
          <w:jc w:val="center"/>
        </w:trPr>
        <w:tc>
          <w:tcPr>
            <w:tcW w:w="2311" w:type="dxa"/>
            <w:shd w:val="clear" w:color="auto" w:fill="D9D9D9"/>
          </w:tcPr>
          <w:p w:rsidR="00722228" w:rsidRPr="0012562A" w:rsidRDefault="00722228" w:rsidP="008C0DE3">
            <w:pP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jc w:val="right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spacing w:before="6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left="330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Rodzaj zamówienia</w:t>
            </w:r>
          </w:p>
        </w:tc>
        <w:tc>
          <w:tcPr>
            <w:tcW w:w="7087" w:type="dxa"/>
          </w:tcPr>
          <w:p w:rsidR="00722228" w:rsidRDefault="00722228" w:rsidP="008C0DE3">
            <w:pPr>
              <w:ind w:left="113" w:right="113"/>
              <w:jc w:val="both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</w:p>
          <w:p w:rsidR="00722228" w:rsidRDefault="00722228" w:rsidP="008C0DE3">
            <w:pPr>
              <w:ind w:left="113" w:right="113"/>
              <w:jc w:val="both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</w:p>
          <w:p w:rsidR="00722228" w:rsidRDefault="00722228" w:rsidP="008C0DE3">
            <w:pPr>
              <w:ind w:left="113" w:right="113"/>
              <w:jc w:val="both"/>
              <w:rPr>
                <w:rFonts w:eastAsia="Arial" w:cstheme="minorHAnsi"/>
                <w:sz w:val="20"/>
                <w:szCs w:val="20"/>
                <w:u w:val="single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 xml:space="preserve">Przedmiotem zamówienia jest </w:t>
            </w:r>
            <w:r w:rsidRPr="0012562A">
              <w:rPr>
                <w:rFonts w:eastAsia="Arial" w:cstheme="minorHAnsi"/>
                <w:sz w:val="20"/>
                <w:szCs w:val="20"/>
                <w:u w:val="single"/>
                <w:lang w:val="pl-PL" w:eastAsia="pl-PL" w:bidi="pl-PL"/>
              </w:rPr>
              <w:t xml:space="preserve">zakup środków trwałych zgodnie z poniższą specyfikacją. </w:t>
            </w:r>
          </w:p>
          <w:p w:rsidR="00722228" w:rsidRPr="0012562A" w:rsidRDefault="00722228" w:rsidP="008C0DE3">
            <w:pPr>
              <w:ind w:left="113" w:right="113"/>
              <w:jc w:val="both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left="113" w:right="113"/>
              <w:jc w:val="both"/>
              <w:rPr>
                <w:rFonts w:eastAsia="Arial" w:cstheme="minorHAnsi"/>
                <w:i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 xml:space="preserve">Postępowanie jest realizowane </w:t>
            </w: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 xml:space="preserve">zgodnie z </w:t>
            </w:r>
            <w:r w:rsidRPr="0012562A">
              <w:rPr>
                <w:rFonts w:cstheme="minorHAnsi"/>
                <w:b/>
                <w:bCs/>
                <w:sz w:val="20"/>
                <w:szCs w:val="20"/>
                <w:lang w:val="pl-PL"/>
              </w:rPr>
              <w:t>ZASADAMI KWALIFIKOWANIA WYDATKÓW I UDZIELANIA ZAMÓWIEŃ W RAMACH PROGRAMU RE_OPEN UK</w:t>
            </w:r>
          </w:p>
        </w:tc>
      </w:tr>
      <w:tr w:rsidR="00722228" w:rsidRPr="0012562A" w:rsidTr="008C0DE3">
        <w:trPr>
          <w:trHeight w:val="1513"/>
          <w:jc w:val="center"/>
        </w:trPr>
        <w:tc>
          <w:tcPr>
            <w:tcW w:w="2311" w:type="dxa"/>
            <w:shd w:val="clear" w:color="auto" w:fill="D9D9D9"/>
          </w:tcPr>
          <w:p w:rsidR="00722228" w:rsidRPr="0012562A" w:rsidRDefault="00722228" w:rsidP="008C0DE3">
            <w:pPr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jc w:val="center"/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jc w:val="center"/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Opis przedmiotu zamówienia</w:t>
            </w:r>
          </w:p>
        </w:tc>
        <w:tc>
          <w:tcPr>
            <w:tcW w:w="7087" w:type="dxa"/>
          </w:tcPr>
          <w:p w:rsidR="00722228" w:rsidRPr="0012562A" w:rsidRDefault="00722228" w:rsidP="008C0DE3">
            <w:pPr>
              <w:pStyle w:val="NormalnyWeb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 w:eastAsia="en-US"/>
              </w:rPr>
            </w:pPr>
            <w:r w:rsidRPr="0012562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 w:eastAsia="en-US"/>
              </w:rPr>
              <w:t xml:space="preserve">Krótki opis projektu: </w:t>
            </w:r>
          </w:p>
          <w:p w:rsidR="00722228" w:rsidRPr="0012562A" w:rsidRDefault="00722228" w:rsidP="008C0DE3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2562A">
              <w:rPr>
                <w:rFonts w:asciiTheme="minorHAnsi" w:eastAsia="Calibri" w:hAnsiTheme="minorHAnsi" w:cstheme="minorHAnsi"/>
                <w:sz w:val="20"/>
                <w:szCs w:val="20"/>
                <w:lang w:val="pl-PL" w:eastAsia="en-US"/>
              </w:rPr>
              <w:t xml:space="preserve">Głównym celem projektu jest ograniczenie negatywnego oddziaływania brexit na spółkę. </w:t>
            </w:r>
            <w:r w:rsidRPr="00A728A6">
              <w:rPr>
                <w:rFonts w:asciiTheme="minorHAnsi" w:eastAsia="Calibri" w:hAnsiTheme="minorHAnsi" w:cstheme="minorHAnsi"/>
                <w:sz w:val="20"/>
                <w:szCs w:val="20"/>
                <w:lang w:val="pl-PL" w:eastAsia="en-US"/>
              </w:rPr>
              <w:t xml:space="preserve">Firma będzie mogła kontynuować współpracę z UK, a zaplanowane działania inwestycyjne zapewnią poszerzenie dotychczasowej oferty (nowy produkt w postaci ekologicznych monomateriałowych opakowań barierowych z polipropylenu, poliestru, polietylenu będzie mógł być produkowany w środowisku odpowiadającym wymogom certyfikatu BRC wymaganego przez firmy z rynku UK i traktowanego jako kryterium dostępowe po brexicie) oraz odbudowanie i rozwój relacji handlowych z działającymi na tym rynku podmiotami. Nowa oferta będzie w szczególności dedykowana wyspecyfikowanym segmentom z branży spożywczej: mięsnemu, rybnemu, kawowemu, koncentratów spożywczych. Tym samym, możliwa będzie kontynuacja strategii firmy zakładającej sukcesywny wzrost udziału w rynku brytyjskim, który został zahamowany przez wyjście Wielkiej Brytanii z UE. Cel ten zostanie osiągnięty poprzez zakupy inwestycyjne (myjka do matryc, myjka ciśnieniowa, laminator monodyspenserowy, podnośnik nożycowy, szorowarka, odkurzacz przemysłowy, stanowisko do kontroli kolorów, zespół zasilania podstawowego wraz z rozdzielnicą, laptopy, wózki paleciaki z podestem, brama przeciwpożarowa, destylator) oraz roboty budowlane, które pozwolą na wprowadzenie w firmy środowiska wspierającego produkcję i produkcyjnego zgodnego ze standardem BRC, wymaganym na rynku UK. W związku z brexitem spółka odnotowała zarówno spadek obrotów jak i wzrost kosztów związanych ze sprzedażą produktów na rynek UK, a ponadto znacznie spadła konkurencyjność oferowanych produktów ze względu na brak sukcesywnie utrzymywanego certyfikatu BRC. Brexit doprowadził do zakończenia współpracy z dotychczasowymi kontrahentami oraz do wydłużenia terminu dostaw. Projekt w pełni wpisuje się w plany rozwojowe spółki w skali krótko i długoterminowej. </w:t>
            </w:r>
            <w:r w:rsidRPr="0012562A">
              <w:rPr>
                <w:rFonts w:asciiTheme="minorHAnsi" w:eastAsia="Calibri" w:hAnsiTheme="minorHAnsi" w:cstheme="minorHAnsi"/>
                <w:sz w:val="20"/>
                <w:szCs w:val="20"/>
                <w:lang w:val="pl-PL" w:eastAsia="en-US"/>
              </w:rPr>
              <w:t>Jest wynikiem analizy rynku oraz sytuacji firmy.</w:t>
            </w:r>
            <w:r w:rsidRPr="0012562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  <w:p w:rsidR="00722228" w:rsidRPr="0012562A" w:rsidRDefault="00722228" w:rsidP="008C0DE3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 xml:space="preserve">Przedmiotem zamówienia są środki trwałe opisane w poniższej specyfikacji. </w:t>
            </w:r>
          </w:p>
          <w:p w:rsidR="00722228" w:rsidRPr="0012562A" w:rsidRDefault="00722228" w:rsidP="008C0DE3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  <w:p w:rsidR="00722228" w:rsidRPr="0012562A" w:rsidRDefault="00722228" w:rsidP="008C0DE3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 xml:space="preserve">Zmówienie będzie składało się z </w:t>
            </w:r>
            <w:r w:rsidRPr="0012562A">
              <w:rPr>
                <w:rFonts w:cstheme="minorHAnsi"/>
                <w:b/>
                <w:bCs/>
                <w:sz w:val="20"/>
                <w:szCs w:val="20"/>
                <w:lang w:val="pl-PL"/>
              </w:rPr>
              <w:t>11 części</w:t>
            </w:r>
            <w:r w:rsidRPr="0012562A">
              <w:rPr>
                <w:rFonts w:cstheme="minorHAnsi"/>
                <w:sz w:val="20"/>
                <w:szCs w:val="20"/>
                <w:lang w:val="pl-PL"/>
              </w:rPr>
              <w:t xml:space="preserve"> wskazanych jak poniżej. </w:t>
            </w:r>
          </w:p>
          <w:p w:rsidR="00722228" w:rsidRPr="0012562A" w:rsidRDefault="00722228" w:rsidP="008C0DE3">
            <w:pPr>
              <w:jc w:val="both"/>
              <w:rPr>
                <w:rFonts w:cstheme="minorHAnsi"/>
                <w:color w:val="FF0000"/>
                <w:sz w:val="20"/>
                <w:szCs w:val="20"/>
                <w:lang w:val="pl-PL"/>
              </w:rPr>
            </w:pP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6"/>
              </w:numPr>
              <w:spacing w:line="276" w:lineRule="auto"/>
              <w:ind w:left="567" w:hanging="425"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2562A">
              <w:rPr>
                <w:rFonts w:cstheme="minorHAnsi"/>
                <w:b/>
                <w:sz w:val="20"/>
                <w:szCs w:val="20"/>
                <w:u w:val="single"/>
              </w:rPr>
              <w:t xml:space="preserve">Specyfikacja: </w:t>
            </w:r>
          </w:p>
          <w:p w:rsidR="00722228" w:rsidRPr="0012562A" w:rsidRDefault="00722228" w:rsidP="008C0DE3">
            <w:pPr>
              <w:ind w:left="567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:rsidR="00722228" w:rsidRPr="00A728A6" w:rsidRDefault="00722228" w:rsidP="00722228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728A6">
              <w:rPr>
                <w:rFonts w:cstheme="minorHAnsi"/>
                <w:b/>
                <w:sz w:val="20"/>
                <w:szCs w:val="20"/>
                <w:lang w:val="pl-PL"/>
              </w:rPr>
              <w:t>Myjka do matryc z jednostką filtrującą</w:t>
            </w:r>
          </w:p>
          <w:p w:rsidR="00722228" w:rsidRPr="00A728A6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728A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Zadanie będzie polegało na zakupie myjki do matryc z jednostką filtrującą (1 szt.) o poniższych parametrach technicznych: - szerokość: 96 cm; - jednostka filtrująca; - 2 częściowy system szczotek; - pojemność zbiornika na płyn: minimum 30 litrów; - pojemność zbiornika na wodę: minimum 10 litrów </w:t>
            </w:r>
          </w:p>
          <w:p w:rsidR="00722228" w:rsidRPr="009C51F5" w:rsidRDefault="00722228" w:rsidP="00722228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9C51F5">
              <w:rPr>
                <w:rFonts w:cstheme="minorHAnsi"/>
                <w:b/>
                <w:sz w:val="20"/>
                <w:szCs w:val="20"/>
                <w:lang w:val="pl-PL"/>
              </w:rPr>
              <w:t xml:space="preserve">Myjka ciśnieniowa do czyszczenia i dezynfekcji </w:t>
            </w:r>
            <w:r w:rsidRPr="001C2167">
              <w:rPr>
                <w:rFonts w:cstheme="minorHAnsi"/>
                <w:sz w:val="20"/>
                <w:szCs w:val="20"/>
                <w:lang w:val="pl-PL"/>
              </w:rPr>
              <w:t>(nowy lub używany środek trwały) - w przypadku składania oferty na używany środek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 trwały</w:t>
            </w:r>
            <w:r w:rsidRPr="001C2167">
              <w:rPr>
                <w:rFonts w:cstheme="minorHAnsi"/>
                <w:sz w:val="20"/>
                <w:szCs w:val="20"/>
                <w:lang w:val="pl-PL"/>
              </w:rPr>
              <w:t>, wymagane podanie informacji w formularzu do zapytania ofertowego)</w:t>
            </w:r>
          </w:p>
          <w:p w:rsidR="00722228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728A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Zadanie polega na zakupie myjki ciśnieniowej do czyszczenia i dezynfekcji o poniższych parametrach: - napięcie (Ph/V/Hz):3/400/50; - ciśnienie robocze (bar/Mpa): 30-200; - moc przyłącza (kW): 7,8; - temperatura podawanej wody:80-155 stopni C </w:t>
            </w:r>
          </w:p>
          <w:p w:rsidR="00722228" w:rsidRPr="009C51F5" w:rsidRDefault="00722228" w:rsidP="008C0DE3">
            <w:pPr>
              <w:pStyle w:val="Normalny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12562A">
              <w:rPr>
                <w:rFonts w:cstheme="minorHAnsi"/>
                <w:b/>
                <w:sz w:val="20"/>
                <w:szCs w:val="20"/>
              </w:rPr>
              <w:t>Laminator monodyspenserowy</w:t>
            </w:r>
          </w:p>
          <w:p w:rsidR="00722228" w:rsidRPr="00A728A6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728A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Zadanie polega na zakupie laminatora monodyspenserowego (1 sztuka) o poniższych minimalnych parametrach technicznych: - szerokość wstęgi 1320mm; - szerokość powłoki 1300mm; - odwijak gilz 3" i 6"; - prędkość mechaniczna 400 obr./min; - listwa antystatyczna; - monodozownik kleju bezrozpuszczalnikowego z systemem pompowania; - 2 automatyczne systemy prowadnic krawędzi FIFE po każdej sekcji odwijania. 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b/>
                <w:sz w:val="20"/>
                <w:szCs w:val="20"/>
                <w:lang w:val="pl-PL"/>
              </w:rPr>
              <w:t>Podnośnik – wózek nożycowy (używany środek trwały)</w:t>
            </w:r>
          </w:p>
          <w:p w:rsidR="00722228" w:rsidRPr="0012562A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Zadanie polega na zakupie używanego podnośnika nożowego (1 sztuka) o poniższych parametrach: - silnik elektryczny, - moc silnika-24V, - maksymalny udźwig; 454 kg, - szerokość robocza-9,92 m, - wysokość platformy-7,92 m 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b/>
                <w:sz w:val="20"/>
                <w:szCs w:val="20"/>
                <w:lang w:val="pl-PL"/>
              </w:rPr>
              <w:t>Szorowarka – maszyna szorująca (używany środek trwały)</w:t>
            </w:r>
          </w:p>
          <w:p w:rsidR="00722228" w:rsidRPr="0012562A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Zadanie polega na zakupie szorowarki (1 sztuka) o poniższych minimalnych parametrach technicznych: - natężenie (V/Hz): 100-240/50-60; - wydajność powierzchniowa (m2/h): 3900; - prędkość obrotowa szczotki: 180 obrotów/minutę; - moc znamionowa (W): maksymalnie 2100; - zasilanie bateryjne. 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b/>
                <w:sz w:val="20"/>
                <w:szCs w:val="20"/>
                <w:lang w:val="pl-PL"/>
              </w:rPr>
              <w:t>Odkurzacz przemysłowy z systemem typu TACT (2 sztuki)</w:t>
            </w:r>
          </w:p>
          <w:p w:rsidR="00722228" w:rsidRPr="0012562A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Zadanie polega na zakupie odkurzacza przemysłowego z systemem typu TACT (2 sztuki) o poniższych minimalnych parametrach technicznych: - Natężenie (Ph/V/Hz):1/220-240/5-60; - pociśnienie (mbar/kPa); - pojemność zbiornika: 65 l; - moc znamionowa (W): maksymalnie 2760 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12562A">
              <w:rPr>
                <w:rFonts w:cstheme="minorHAnsi"/>
                <w:b/>
                <w:sz w:val="20"/>
                <w:szCs w:val="20"/>
              </w:rPr>
              <w:t>Stanowisko kontroli kolorów</w:t>
            </w:r>
          </w:p>
          <w:p w:rsidR="00722228" w:rsidRPr="0012562A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Zadanie polega na zakupie stanowiska do kontroli kolorów (1 sztuka) o poniższych minimalnych parametrach technicznych: - źródło światła o temperaturze barwowej D50, - wykonanie zgodnie z normami ISO 3664 oraz ISO 3668, - wersja ze stelażem do stanowisko do pracy stojącej, wysokość całkowita min. 1800 mm. - licznik zużycia lamp. - blat podświetlany na całości powierzchni roboczej. 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b/>
                <w:sz w:val="20"/>
                <w:szCs w:val="20"/>
                <w:lang w:val="pl-PL"/>
              </w:rPr>
              <w:t>Zespół zasilania podstawowego SN wraz z rozdzielnią niskiego napięcia NN</w:t>
            </w:r>
          </w:p>
          <w:p w:rsidR="00722228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Zadanie polega na zakupie zespołu zasilania podstawowego SN wraz z rozdzielnicą niskiego napięcia (1 komplet) o poniższych minimalnych parametrach: - Moc minimalna zasilania podstawowego: 400kVA 6,3/0,42kV. - Wykonanie - uzwojenie aluminiowe.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–</w:t>
            </w:r>
            <w:r w:rsidRPr="0012562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Rozdzielnica NN - moc minimalna RG-1600A. </w:t>
            </w:r>
          </w:p>
          <w:p w:rsidR="00722228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722228" w:rsidRPr="0012562A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b/>
                <w:sz w:val="20"/>
                <w:szCs w:val="20"/>
                <w:lang w:val="pl-PL"/>
              </w:rPr>
              <w:t>Wózki paleciaki z podestem (2 sztuki) - (używany środek trwały)</w:t>
            </w:r>
          </w:p>
          <w:p w:rsidR="00722228" w:rsidRPr="0012562A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Zadanie polega na zakupie wózków paleciaków (2 szt.) o poniższych minimalnych parametrach technicznych: - Udźwig: min. 1000 kg - Wysokość podnoszenia: min. 3000mm - Zasilanie elektryczne 24V - Podest. 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12562A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12562A">
              <w:rPr>
                <w:rFonts w:cstheme="minorHAnsi"/>
                <w:b/>
                <w:sz w:val="20"/>
                <w:szCs w:val="20"/>
              </w:rPr>
              <w:t>Brama przeciwpożarowa</w:t>
            </w:r>
          </w:p>
          <w:p w:rsidR="00722228" w:rsidRPr="0012562A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Zadanie polega na zakupie bramy przeciwpożarowej (1 sztuka) o poniższych parametrach: - szerokość: 2000 mm. - wysokość: 2500 mm - odporność ogniowa: minimum EI30. - napęd elektryczny 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12562A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12562A">
              <w:rPr>
                <w:rFonts w:cstheme="minorHAnsi"/>
                <w:b/>
                <w:sz w:val="20"/>
                <w:szCs w:val="20"/>
              </w:rPr>
              <w:t>Destylator</w:t>
            </w:r>
          </w:p>
          <w:p w:rsidR="00722228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Zadanie polega na zakupie destylatora (1 sztuka) o poniższych minimalnych parametrach technicznych: - pojemność: 150 l; - automatyczne ładowanie i rozładowywanie; - mieszadło; - ESO: system bezpieczeństwa nitrocelulozy. </w:t>
            </w:r>
          </w:p>
          <w:p w:rsidR="00722228" w:rsidRPr="0012562A" w:rsidRDefault="00722228" w:rsidP="008C0DE3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22228" w:rsidRPr="0012562A" w:rsidTr="008C0DE3">
        <w:trPr>
          <w:trHeight w:val="969"/>
          <w:jc w:val="center"/>
        </w:trPr>
        <w:tc>
          <w:tcPr>
            <w:tcW w:w="2311" w:type="dxa"/>
            <w:shd w:val="clear" w:color="auto" w:fill="D9D9D9"/>
            <w:vAlign w:val="center"/>
          </w:tcPr>
          <w:p w:rsidR="00722228" w:rsidRPr="0012562A" w:rsidRDefault="00722228" w:rsidP="008C0DE3">
            <w:pPr>
              <w:jc w:val="center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lastRenderedPageBreak/>
              <w:t>Miejsce realizacji zamówienia</w:t>
            </w:r>
          </w:p>
        </w:tc>
        <w:tc>
          <w:tcPr>
            <w:tcW w:w="7087" w:type="dxa"/>
            <w:vAlign w:val="center"/>
          </w:tcPr>
          <w:p w:rsidR="00722228" w:rsidRPr="0012562A" w:rsidRDefault="00722228" w:rsidP="008C0DE3">
            <w:pPr>
              <w:ind w:left="113" w:right="113"/>
              <w:jc w:val="both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>ul. Krakowska 83C, 34-120 Andrychów</w:t>
            </w:r>
          </w:p>
        </w:tc>
      </w:tr>
    </w:tbl>
    <w:p w:rsidR="00722228" w:rsidRPr="0012562A" w:rsidRDefault="00722228" w:rsidP="00722228">
      <w:pPr>
        <w:widowControl w:val="0"/>
        <w:tabs>
          <w:tab w:val="left" w:pos="1212"/>
        </w:tabs>
        <w:autoSpaceDE w:val="0"/>
        <w:autoSpaceDN w:val="0"/>
        <w:spacing w:after="0" w:line="240" w:lineRule="auto"/>
        <w:rPr>
          <w:rFonts w:eastAsia="Arial" w:cstheme="minorHAnsi"/>
          <w:color w:val="FF0000"/>
          <w:sz w:val="20"/>
          <w:szCs w:val="20"/>
          <w:lang w:eastAsia="pl-PL" w:bidi="pl-PL"/>
        </w:rPr>
      </w:pPr>
    </w:p>
    <w:tbl>
      <w:tblPr>
        <w:tblStyle w:val="TableNormal"/>
        <w:tblW w:w="9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129"/>
      </w:tblGrid>
      <w:tr w:rsidR="00722228" w:rsidRPr="0012562A" w:rsidTr="008C0DE3">
        <w:trPr>
          <w:trHeight w:val="758"/>
          <w:jc w:val="center"/>
        </w:trPr>
        <w:tc>
          <w:tcPr>
            <w:tcW w:w="2269" w:type="dxa"/>
            <w:shd w:val="clear" w:color="auto" w:fill="D9D9D9"/>
          </w:tcPr>
          <w:p w:rsidR="00722228" w:rsidRPr="0012562A" w:rsidRDefault="00722228" w:rsidP="008C0DE3">
            <w:pPr>
              <w:jc w:val="center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Nr i nazwa kodu CPV wg Wspólnego Słownika</w:t>
            </w:r>
          </w:p>
          <w:p w:rsidR="00722228" w:rsidRPr="0012562A" w:rsidRDefault="00722228" w:rsidP="008C0DE3">
            <w:pPr>
              <w:jc w:val="center"/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Zamówień</w:t>
            </w:r>
          </w:p>
        </w:tc>
        <w:tc>
          <w:tcPr>
            <w:tcW w:w="7129" w:type="dxa"/>
          </w:tcPr>
          <w:p w:rsidR="00722228" w:rsidRPr="00D86207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</w:p>
          <w:p w:rsidR="00722228" w:rsidRPr="00272FA2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  <w:r w:rsidRPr="00272FA2"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  <w:t>Część: III, VII, XI:</w:t>
            </w:r>
          </w:p>
          <w:p w:rsidR="00722228" w:rsidRPr="00A728A6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  <w:r w:rsidRPr="00A728A6"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  <w:t xml:space="preserve">38540000-2 Maszyny i aparatura badawcza i pomiarowa </w:t>
            </w:r>
          </w:p>
          <w:p w:rsidR="00722228" w:rsidRPr="00272FA2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</w:p>
          <w:p w:rsidR="00722228" w:rsidRPr="00272FA2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  <w:r w:rsidRPr="00272FA2"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  <w:t>Część I, II, V, VI:</w:t>
            </w:r>
          </w:p>
          <w:p w:rsidR="00722228" w:rsidRPr="00272FA2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</w:p>
          <w:p w:rsidR="00722228" w:rsidRPr="00272FA2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  <w:r w:rsidRPr="00272FA2"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  <w:t>42000000-6 Maszyny przemysłowe</w:t>
            </w:r>
          </w:p>
          <w:p w:rsidR="00722228" w:rsidRPr="00272FA2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</w:p>
          <w:p w:rsidR="00722228" w:rsidRPr="00272FA2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  <w:r w:rsidRPr="00272FA2"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  <w:t>Część IV, IX:</w:t>
            </w:r>
          </w:p>
          <w:p w:rsidR="00722228" w:rsidRPr="00A728A6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  <w:r w:rsidRPr="00A728A6"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  <w:t xml:space="preserve">42415110-2 Wózki widłowe </w:t>
            </w:r>
          </w:p>
          <w:p w:rsidR="00722228" w:rsidRPr="00272FA2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</w:p>
          <w:p w:rsidR="00722228" w:rsidRPr="00272FA2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  <w:r w:rsidRPr="00272FA2"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  <w:t>Część VIII:</w:t>
            </w:r>
          </w:p>
          <w:p w:rsidR="00722228" w:rsidRPr="00272FA2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  <w:r w:rsidRPr="00272FA2"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  <w:t>45315600-4 Instalacje niskiego napięcia</w:t>
            </w:r>
          </w:p>
          <w:p w:rsidR="00722228" w:rsidRPr="00272FA2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</w:p>
          <w:p w:rsidR="00722228" w:rsidRPr="00272FA2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  <w:r w:rsidRPr="00272FA2"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  <w:t>Część X:</w:t>
            </w:r>
          </w:p>
          <w:p w:rsidR="00722228" w:rsidRPr="007C45BF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  <w:r w:rsidRPr="00272FA2"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  <w:t>44221300-8 Bramy</w:t>
            </w:r>
          </w:p>
          <w:p w:rsidR="00722228" w:rsidRPr="00D86207" w:rsidRDefault="00722228" w:rsidP="008C0DE3">
            <w:pPr>
              <w:pStyle w:val="Akapitzlist"/>
              <w:ind w:left="833"/>
              <w:rPr>
                <w:rFonts w:eastAsia="Arial" w:cstheme="minorHAnsi"/>
                <w:b/>
                <w:bCs/>
                <w:sz w:val="20"/>
                <w:szCs w:val="20"/>
                <w:lang w:val="pl-PL" w:eastAsia="pl-PL" w:bidi="pl-PL"/>
              </w:rPr>
            </w:pPr>
          </w:p>
        </w:tc>
      </w:tr>
      <w:tr w:rsidR="00722228" w:rsidRPr="0012562A" w:rsidTr="008C0DE3">
        <w:trPr>
          <w:trHeight w:val="489"/>
          <w:jc w:val="center"/>
        </w:trPr>
        <w:tc>
          <w:tcPr>
            <w:tcW w:w="2269" w:type="dxa"/>
            <w:shd w:val="clear" w:color="auto" w:fill="D9D9D9"/>
            <w:vAlign w:val="center"/>
          </w:tcPr>
          <w:p w:rsidR="00722228" w:rsidRPr="0012562A" w:rsidRDefault="00722228" w:rsidP="008C0DE3">
            <w:pPr>
              <w:jc w:val="center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 xml:space="preserve">Termin </w:t>
            </w: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realizacji</w:t>
            </w:r>
          </w:p>
          <w:p w:rsidR="00722228" w:rsidRPr="0012562A" w:rsidRDefault="00722228" w:rsidP="008C0DE3">
            <w:pPr>
              <w:jc w:val="center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Zamówienia</w:t>
            </w:r>
          </w:p>
          <w:p w:rsidR="00722228" w:rsidRPr="0012562A" w:rsidRDefault="00722228" w:rsidP="008C0DE3">
            <w:pPr>
              <w:jc w:val="center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</w:p>
        </w:tc>
        <w:tc>
          <w:tcPr>
            <w:tcW w:w="7129" w:type="dxa"/>
          </w:tcPr>
          <w:p w:rsidR="00722228" w:rsidRPr="0012562A" w:rsidRDefault="00722228" w:rsidP="008C0DE3">
            <w:pPr>
              <w:pStyle w:val="Akapitzlist"/>
              <w:shd w:val="clear" w:color="auto" w:fill="FFFFFF"/>
              <w:spacing w:line="276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  <w:p w:rsidR="00722228" w:rsidRPr="0012562A" w:rsidRDefault="00722228" w:rsidP="00722228">
            <w:pPr>
              <w:pStyle w:val="Akapitzlist"/>
              <w:numPr>
                <w:ilvl w:val="0"/>
                <w:numId w:val="5"/>
              </w:numPr>
              <w:shd w:val="clear" w:color="auto" w:fill="FFFFFF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12562A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Część I -XI:  niezwłocznie po podpisaniu umowy – najpóźniej </w:t>
            </w:r>
            <w:r w:rsidRPr="00272FA2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do </w:t>
            </w:r>
            <w:r w:rsidRPr="00272FA2">
              <w:rPr>
                <w:rFonts w:eastAsia="Times New Roman" w:cstheme="minorHAnsi"/>
                <w:b/>
                <w:bCs/>
                <w:sz w:val="20"/>
                <w:szCs w:val="20"/>
                <w:lang w:val="pl-PL" w:eastAsia="pl-PL"/>
              </w:rPr>
              <w:t>25.09.2023</w:t>
            </w:r>
          </w:p>
          <w:p w:rsidR="00722228" w:rsidRPr="0012562A" w:rsidRDefault="00722228" w:rsidP="008C0DE3">
            <w:pPr>
              <w:spacing w:before="2"/>
              <w:rPr>
                <w:rFonts w:eastAsia="Arial" w:cstheme="minorHAnsi"/>
                <w:b/>
                <w:sz w:val="20"/>
                <w:szCs w:val="20"/>
                <w:highlight w:val="yellow"/>
                <w:lang w:val="pl-PL" w:eastAsia="pl-PL" w:bidi="pl-PL"/>
              </w:rPr>
            </w:pPr>
          </w:p>
          <w:p w:rsidR="00722228" w:rsidRPr="0012562A" w:rsidRDefault="00722228" w:rsidP="008C0DE3">
            <w:pPr>
              <w:spacing w:before="2"/>
              <w:ind w:left="136" w:right="189"/>
              <w:jc w:val="both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 xml:space="preserve">Umowa z dostawcą/mi zostanie podpisana niezwłocznie po zakończeniu postępowania i uzgodnienia jej treści pomiędzy obiema stronami. </w:t>
            </w:r>
          </w:p>
        </w:tc>
      </w:tr>
      <w:tr w:rsidR="00722228" w:rsidRPr="0012562A" w:rsidTr="008C0DE3">
        <w:trPr>
          <w:trHeight w:val="479"/>
          <w:jc w:val="center"/>
        </w:trPr>
        <w:tc>
          <w:tcPr>
            <w:tcW w:w="2269" w:type="dxa"/>
            <w:shd w:val="clear" w:color="auto" w:fill="D9D9D9"/>
          </w:tcPr>
          <w:p w:rsidR="00722228" w:rsidRPr="0012562A" w:rsidRDefault="00722228" w:rsidP="008C0DE3">
            <w:pPr>
              <w:jc w:val="center"/>
              <w:rPr>
                <w:rFonts w:eastAsia="Arial" w:cstheme="minorHAnsi"/>
                <w:b/>
                <w:sz w:val="20"/>
                <w:szCs w:val="20"/>
                <w:highlight w:val="yellow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Termin składania ofert</w:t>
            </w:r>
          </w:p>
        </w:tc>
        <w:tc>
          <w:tcPr>
            <w:tcW w:w="7129" w:type="dxa"/>
          </w:tcPr>
          <w:p w:rsidR="00722228" w:rsidRPr="0012562A" w:rsidRDefault="00722228" w:rsidP="008C0DE3">
            <w:pPr>
              <w:spacing w:before="1"/>
              <w:ind w:left="107"/>
              <w:rPr>
                <w:rFonts w:eastAsia="Arial" w:cstheme="minorHAnsi"/>
                <w:b/>
                <w:sz w:val="20"/>
                <w:szCs w:val="20"/>
                <w:highlight w:val="yellow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 xml:space="preserve">Od dnia </w:t>
            </w:r>
            <w:r>
              <w:rPr>
                <w:rFonts w:eastAsia="Arial" w:cstheme="minorHAnsi"/>
                <w:b/>
                <w:color w:val="000000" w:themeColor="text1"/>
                <w:sz w:val="20"/>
                <w:szCs w:val="20"/>
                <w:lang w:eastAsia="pl-PL" w:bidi="pl-PL"/>
              </w:rPr>
              <w:t>30</w:t>
            </w:r>
            <w:r w:rsidRPr="0012562A">
              <w:rPr>
                <w:rFonts w:eastAsia="Arial" w:cstheme="minorHAnsi"/>
                <w:b/>
                <w:color w:val="000000" w:themeColor="text1"/>
                <w:sz w:val="20"/>
                <w:szCs w:val="20"/>
                <w:lang w:eastAsia="pl-PL" w:bidi="pl-PL"/>
              </w:rPr>
              <w:t xml:space="preserve">.06.2023 </w:t>
            </w: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 xml:space="preserve">do dnia </w:t>
            </w:r>
            <w: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30</w:t>
            </w: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.07.2023</w:t>
            </w:r>
          </w:p>
        </w:tc>
      </w:tr>
      <w:tr w:rsidR="00722228" w:rsidRPr="0012562A" w:rsidTr="008C0DE3">
        <w:trPr>
          <w:trHeight w:val="481"/>
          <w:jc w:val="center"/>
        </w:trPr>
        <w:tc>
          <w:tcPr>
            <w:tcW w:w="2269" w:type="dxa"/>
            <w:shd w:val="clear" w:color="auto" w:fill="D9D9D9"/>
          </w:tcPr>
          <w:p w:rsidR="00722228" w:rsidRPr="0012562A" w:rsidRDefault="00722228" w:rsidP="008C0DE3">
            <w:pPr>
              <w:jc w:val="center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lastRenderedPageBreak/>
              <w:t>Termin związania ofertą</w:t>
            </w:r>
          </w:p>
        </w:tc>
        <w:tc>
          <w:tcPr>
            <w:tcW w:w="7129" w:type="dxa"/>
          </w:tcPr>
          <w:p w:rsidR="00722228" w:rsidRPr="0012562A" w:rsidRDefault="00722228" w:rsidP="008C0DE3">
            <w:pPr>
              <w:spacing w:before="2"/>
              <w:ind w:left="152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>45 dni</w:t>
            </w:r>
          </w:p>
        </w:tc>
      </w:tr>
      <w:tr w:rsidR="00722228" w:rsidRPr="0012562A" w:rsidTr="008C0DE3">
        <w:trPr>
          <w:trHeight w:val="3877"/>
          <w:jc w:val="center"/>
        </w:trPr>
        <w:tc>
          <w:tcPr>
            <w:tcW w:w="2269" w:type="dxa"/>
            <w:shd w:val="clear" w:color="auto" w:fill="D9D9D9"/>
          </w:tcPr>
          <w:p w:rsidR="00722228" w:rsidRPr="0012562A" w:rsidRDefault="00722228" w:rsidP="008C0DE3">
            <w:pPr>
              <w:ind w:left="113" w:right="113"/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left="113" w:right="113"/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left="113" w:right="113"/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left="113" w:right="113"/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left="113" w:right="113"/>
              <w:jc w:val="center"/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left="113" w:right="113"/>
              <w:jc w:val="center"/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Termin, miejsce i sposób składania ofert</w:t>
            </w:r>
          </w:p>
        </w:tc>
        <w:tc>
          <w:tcPr>
            <w:tcW w:w="7129" w:type="dxa"/>
          </w:tcPr>
          <w:p w:rsidR="00722228" w:rsidRPr="0012562A" w:rsidRDefault="00722228" w:rsidP="008C0DE3">
            <w:pPr>
              <w:spacing w:line="276" w:lineRule="auto"/>
              <w:ind w:left="113" w:right="113"/>
              <w:jc w:val="both"/>
              <w:rPr>
                <w:rFonts w:eastAsia="Trebuchet MS" w:cstheme="minorHAnsi"/>
                <w:color w:val="FF0000"/>
                <w:sz w:val="20"/>
                <w:szCs w:val="20"/>
                <w:lang w:val="pl-PL"/>
              </w:rPr>
            </w:pPr>
          </w:p>
          <w:p w:rsidR="00722228" w:rsidRPr="0012562A" w:rsidRDefault="00722228" w:rsidP="00722228">
            <w:pPr>
              <w:pStyle w:val="Akapitzlist"/>
              <w:numPr>
                <w:ilvl w:val="0"/>
                <w:numId w:val="6"/>
              </w:numPr>
              <w:ind w:left="561" w:right="329"/>
              <w:jc w:val="both"/>
              <w:outlineLvl w:val="0"/>
              <w:rPr>
                <w:rFonts w:eastAsia="Trebuchet MS" w:cstheme="minorHAnsi"/>
                <w:color w:val="FF0000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Termin składania ofert upływa w dniu: </w:t>
            </w:r>
            <w:r>
              <w:rPr>
                <w:rFonts w:eastAsia="Trebuchet MS" w:cstheme="minorHAnsi"/>
                <w:sz w:val="20"/>
                <w:szCs w:val="20"/>
                <w:lang w:val="pl-PL"/>
              </w:rPr>
              <w:t>30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.07.2023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6"/>
              </w:numPr>
              <w:ind w:left="561" w:right="329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Sposób składania ofert: </w:t>
            </w:r>
          </w:p>
          <w:p w:rsidR="00722228" w:rsidRDefault="00722228" w:rsidP="00722228">
            <w:pPr>
              <w:pStyle w:val="Akapitzlist"/>
              <w:numPr>
                <w:ilvl w:val="0"/>
                <w:numId w:val="7"/>
              </w:numPr>
              <w:ind w:left="845" w:right="329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>
              <w:rPr>
                <w:rFonts w:eastAsia="Trebuchet MS" w:cstheme="minorHAnsi"/>
                <w:sz w:val="20"/>
                <w:szCs w:val="20"/>
                <w:lang w:val="pl-PL"/>
              </w:rPr>
              <w:t>Elektronicznie na adres:</w:t>
            </w:r>
          </w:p>
          <w:p w:rsidR="00722228" w:rsidRDefault="00722228" w:rsidP="008C0DE3">
            <w:pPr>
              <w:pStyle w:val="Akapitzlist"/>
              <w:ind w:left="845" w:right="329"/>
              <w:jc w:val="both"/>
              <w:outlineLvl w:val="0"/>
              <w:rPr>
                <w:rFonts w:cstheme="minorHAnsi"/>
                <w:b/>
                <w:sz w:val="20"/>
                <w:szCs w:val="20"/>
              </w:rPr>
            </w:pPr>
            <w:hyperlink r:id="rId5" w:history="1">
              <w:r w:rsidRPr="009C4813">
                <w:rPr>
                  <w:rStyle w:val="Hipercze"/>
                  <w:rFonts w:cstheme="minorHAnsi"/>
                  <w:b/>
                  <w:sz w:val="20"/>
                  <w:szCs w:val="20"/>
                </w:rPr>
                <w:t>marcin@mardrukopakowania.pl</w:t>
              </w:r>
            </w:hyperlink>
          </w:p>
          <w:p w:rsidR="00722228" w:rsidRDefault="00722228" w:rsidP="008C0DE3">
            <w:pPr>
              <w:pStyle w:val="Akapitzlist"/>
              <w:ind w:left="845" w:right="329"/>
              <w:jc w:val="both"/>
              <w:outlineLvl w:val="0"/>
              <w:rPr>
                <w:rFonts w:cstheme="minorHAnsi"/>
                <w:b/>
                <w:sz w:val="20"/>
                <w:szCs w:val="20"/>
              </w:rPr>
            </w:pPr>
            <w:hyperlink r:id="rId6" w:history="1">
              <w:r w:rsidRPr="009C4813">
                <w:rPr>
                  <w:rStyle w:val="Hipercze"/>
                  <w:rFonts w:cstheme="minorHAnsi"/>
                  <w:b/>
                  <w:sz w:val="20"/>
                  <w:szCs w:val="20"/>
                </w:rPr>
                <w:t>krzysztof@mardrukopakowania.pl</w:t>
              </w:r>
            </w:hyperlink>
          </w:p>
          <w:p w:rsidR="00722228" w:rsidRPr="00A728A6" w:rsidRDefault="00722228" w:rsidP="008C0DE3">
            <w:pPr>
              <w:pStyle w:val="Akapitzlist"/>
              <w:ind w:left="845" w:right="329"/>
              <w:jc w:val="both"/>
              <w:outlineLvl w:val="0"/>
              <w:rPr>
                <w:rFonts w:cstheme="minorHAnsi"/>
                <w:b/>
                <w:sz w:val="20"/>
                <w:szCs w:val="20"/>
              </w:rPr>
            </w:pPr>
            <w:hyperlink r:id="rId7" w:history="1">
              <w:r w:rsidRPr="009C4813">
                <w:rPr>
                  <w:rStyle w:val="Hipercze"/>
                  <w:rFonts w:cstheme="minorHAnsi"/>
                  <w:b/>
                  <w:sz w:val="20"/>
                  <w:szCs w:val="20"/>
                </w:rPr>
                <w:t>wojciech@mardrukopakowania.pl</w:t>
              </w:r>
            </w:hyperlink>
          </w:p>
          <w:p w:rsidR="00722228" w:rsidRPr="0012562A" w:rsidRDefault="00722228" w:rsidP="008C0DE3">
            <w:pPr>
              <w:pStyle w:val="Akapitzlist"/>
              <w:ind w:left="845" w:right="329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lub</w:t>
            </w:r>
          </w:p>
          <w:p w:rsidR="00722228" w:rsidRPr="00181E08" w:rsidRDefault="00722228" w:rsidP="00722228">
            <w:pPr>
              <w:pStyle w:val="Akapitzlist"/>
              <w:numPr>
                <w:ilvl w:val="0"/>
                <w:numId w:val="7"/>
              </w:numPr>
              <w:ind w:left="845" w:right="329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W wersji papierowej na adres siedziby firmy: ul. Krakowska 83C, 34-120 Andrychów</w:t>
            </w:r>
            <w:r w:rsidRPr="00181E08">
              <w:rPr>
                <w:rFonts w:eastAsia="Trebuchet MS" w:cstheme="minorHAnsi"/>
                <w:sz w:val="20"/>
                <w:szCs w:val="20"/>
                <w:lang w:val="pl-PL"/>
              </w:rPr>
              <w:t xml:space="preserve"> 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6"/>
              </w:numPr>
              <w:ind w:left="561" w:right="329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Za termin złożenia oferty rozumie się termin wpływu oferty do Zamawiającego na wskazany adres mailowy lub ww. adresy.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6"/>
              </w:numPr>
              <w:ind w:left="561" w:right="329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Oferty złożone po wskazanym terminie nie będą rozpatrywane.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6"/>
              </w:numPr>
              <w:ind w:left="561" w:right="329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Oferty złożone w niewłaściwym miejscu nie będą rozpatrywane.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6"/>
              </w:numPr>
              <w:ind w:left="561" w:right="329"/>
              <w:jc w:val="both"/>
              <w:outlineLvl w:val="0"/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Wykonawca ponosi wszelkie koszty związane z przygotowaniem i złożeniem oferty. </w:t>
            </w:r>
          </w:p>
        </w:tc>
      </w:tr>
    </w:tbl>
    <w:p w:rsidR="00722228" w:rsidRPr="0012562A" w:rsidRDefault="00722228" w:rsidP="00722228">
      <w:pPr>
        <w:widowControl w:val="0"/>
        <w:tabs>
          <w:tab w:val="left" w:pos="597"/>
        </w:tabs>
        <w:autoSpaceDE w:val="0"/>
        <w:autoSpaceDN w:val="0"/>
        <w:spacing w:before="1" w:after="0" w:line="252" w:lineRule="auto"/>
        <w:ind w:right="254"/>
        <w:rPr>
          <w:rFonts w:eastAsia="Arial" w:cstheme="minorHAnsi"/>
          <w:b/>
          <w:color w:val="FF0000"/>
          <w:w w:val="95"/>
          <w:sz w:val="20"/>
          <w:szCs w:val="20"/>
          <w:lang w:eastAsia="pl-PL" w:bidi="pl-PL"/>
        </w:rPr>
      </w:pPr>
    </w:p>
    <w:p w:rsidR="00722228" w:rsidRPr="000C7E65" w:rsidRDefault="00722228" w:rsidP="00722228">
      <w:pPr>
        <w:widowControl w:val="0"/>
        <w:tabs>
          <w:tab w:val="left" w:pos="597"/>
        </w:tabs>
        <w:autoSpaceDE w:val="0"/>
        <w:autoSpaceDN w:val="0"/>
        <w:spacing w:before="1" w:after="0" w:line="252" w:lineRule="auto"/>
        <w:ind w:right="254"/>
        <w:rPr>
          <w:rFonts w:eastAsia="Arial" w:cstheme="minorHAnsi"/>
          <w:b/>
          <w:color w:val="FF0000"/>
          <w:w w:val="95"/>
          <w:sz w:val="20"/>
          <w:szCs w:val="20"/>
          <w:lang w:eastAsia="pl-PL" w:bidi="pl-PL"/>
        </w:rPr>
      </w:pPr>
    </w:p>
    <w:p w:rsidR="00722228" w:rsidRPr="000C7E65" w:rsidRDefault="00722228" w:rsidP="00722228">
      <w:pPr>
        <w:pStyle w:val="Akapitzlist"/>
        <w:widowControl w:val="0"/>
        <w:numPr>
          <w:ilvl w:val="0"/>
          <w:numId w:val="4"/>
        </w:numPr>
        <w:tabs>
          <w:tab w:val="left" w:pos="597"/>
        </w:tabs>
        <w:autoSpaceDE w:val="0"/>
        <w:autoSpaceDN w:val="0"/>
        <w:spacing w:before="1" w:after="0" w:line="252" w:lineRule="auto"/>
        <w:ind w:right="254"/>
        <w:jc w:val="both"/>
        <w:rPr>
          <w:rFonts w:eastAsia="Trebuchet MS" w:cstheme="minorHAnsi"/>
          <w:b/>
          <w:sz w:val="20"/>
          <w:szCs w:val="20"/>
          <w:lang w:eastAsia="pl-PL" w:bidi="pl-PL"/>
        </w:rPr>
      </w:pPr>
      <w:r w:rsidRPr="000C7E65">
        <w:rPr>
          <w:rFonts w:eastAsia="Trebuchet MS" w:cstheme="minorHAnsi"/>
          <w:b/>
          <w:w w:val="95"/>
          <w:sz w:val="20"/>
          <w:szCs w:val="20"/>
          <w:lang w:eastAsia="pl-PL" w:bidi="pl-PL"/>
        </w:rPr>
        <w:t>Warunki udziału podmiotu w postępowaniu oraz opis sposobu dokonywania</w:t>
      </w:r>
      <w:r w:rsidRPr="000C7E65">
        <w:rPr>
          <w:rFonts w:eastAsia="Trebuchet MS" w:cstheme="minorHAnsi"/>
          <w:b/>
          <w:spacing w:val="-32"/>
          <w:w w:val="95"/>
          <w:sz w:val="20"/>
          <w:szCs w:val="20"/>
          <w:lang w:eastAsia="pl-PL" w:bidi="pl-PL"/>
        </w:rPr>
        <w:t xml:space="preserve"> </w:t>
      </w:r>
      <w:r w:rsidRPr="000C7E65">
        <w:rPr>
          <w:rFonts w:eastAsia="Trebuchet MS" w:cstheme="minorHAnsi"/>
          <w:b/>
          <w:w w:val="95"/>
          <w:sz w:val="20"/>
          <w:szCs w:val="20"/>
          <w:lang w:eastAsia="pl-PL" w:bidi="pl-PL"/>
        </w:rPr>
        <w:t xml:space="preserve">oceny </w:t>
      </w:r>
      <w:r w:rsidRPr="000C7E65">
        <w:rPr>
          <w:rFonts w:eastAsia="Trebuchet MS" w:cstheme="minorHAnsi"/>
          <w:b/>
          <w:sz w:val="20"/>
          <w:szCs w:val="20"/>
          <w:lang w:eastAsia="pl-PL" w:bidi="pl-PL"/>
        </w:rPr>
        <w:t>spełnienia tych warunków:</w:t>
      </w:r>
    </w:p>
    <w:p w:rsidR="00722228" w:rsidRPr="0012562A" w:rsidRDefault="00722228" w:rsidP="00722228">
      <w:pPr>
        <w:widowControl w:val="0"/>
        <w:tabs>
          <w:tab w:val="left" w:pos="597"/>
        </w:tabs>
        <w:autoSpaceDE w:val="0"/>
        <w:autoSpaceDN w:val="0"/>
        <w:spacing w:before="1" w:after="0" w:line="252" w:lineRule="auto"/>
        <w:ind w:left="720" w:right="254"/>
        <w:jc w:val="both"/>
        <w:rPr>
          <w:rFonts w:eastAsia="Trebuchet MS" w:cstheme="minorHAnsi"/>
          <w:b/>
          <w:sz w:val="20"/>
          <w:szCs w:val="20"/>
          <w:lang w:eastAsia="pl-PL" w:bidi="pl-PL"/>
        </w:rPr>
      </w:pPr>
    </w:p>
    <w:p w:rsidR="00722228" w:rsidRPr="0012562A" w:rsidRDefault="00722228" w:rsidP="00722228">
      <w:pPr>
        <w:widowControl w:val="0"/>
        <w:tabs>
          <w:tab w:val="left" w:pos="597"/>
        </w:tabs>
        <w:autoSpaceDE w:val="0"/>
        <w:autoSpaceDN w:val="0"/>
        <w:spacing w:before="1" w:after="0" w:line="252" w:lineRule="auto"/>
        <w:ind w:right="254"/>
        <w:jc w:val="both"/>
        <w:rPr>
          <w:rFonts w:eastAsia="Arial" w:cstheme="minorHAnsi"/>
          <w:b/>
          <w:sz w:val="20"/>
          <w:szCs w:val="20"/>
          <w:lang w:eastAsia="pl-PL" w:bidi="pl-PL"/>
        </w:rPr>
      </w:pPr>
      <w:r w:rsidRPr="0012562A">
        <w:rPr>
          <w:rFonts w:eastAsia="Arial" w:cstheme="minorHAnsi"/>
          <w:b/>
          <w:sz w:val="20"/>
          <w:szCs w:val="20"/>
          <w:lang w:eastAsia="pl-PL" w:bidi="pl-PL"/>
        </w:rPr>
        <w:t xml:space="preserve">Nie dotyczy </w:t>
      </w:r>
    </w:p>
    <w:p w:rsidR="00722228" w:rsidRPr="0012562A" w:rsidRDefault="00722228" w:rsidP="00722228">
      <w:pPr>
        <w:widowControl w:val="0"/>
        <w:tabs>
          <w:tab w:val="left" w:pos="597"/>
        </w:tabs>
        <w:autoSpaceDE w:val="0"/>
        <w:autoSpaceDN w:val="0"/>
        <w:spacing w:before="1" w:after="0" w:line="252" w:lineRule="auto"/>
        <w:ind w:right="254"/>
        <w:jc w:val="both"/>
        <w:rPr>
          <w:rFonts w:eastAsia="Arial" w:cstheme="minorHAnsi"/>
          <w:b/>
          <w:color w:val="FF0000"/>
          <w:sz w:val="20"/>
          <w:szCs w:val="20"/>
          <w:lang w:eastAsia="pl-PL" w:bidi="pl-PL"/>
        </w:rPr>
      </w:pPr>
    </w:p>
    <w:p w:rsidR="00722228" w:rsidRPr="0012562A" w:rsidRDefault="00722228" w:rsidP="00722228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FF0000"/>
          <w:sz w:val="20"/>
          <w:szCs w:val="20"/>
          <w:lang w:eastAsia="pl-PL" w:bidi="pl-PL"/>
        </w:rPr>
      </w:pPr>
    </w:p>
    <w:p w:rsidR="00722228" w:rsidRPr="0012562A" w:rsidRDefault="00722228" w:rsidP="00722228">
      <w:pPr>
        <w:pStyle w:val="Akapitzlist"/>
        <w:widowControl w:val="0"/>
        <w:numPr>
          <w:ilvl w:val="0"/>
          <w:numId w:val="4"/>
        </w:numPr>
        <w:tabs>
          <w:tab w:val="left" w:pos="597"/>
        </w:tabs>
        <w:autoSpaceDE w:val="0"/>
        <w:autoSpaceDN w:val="0"/>
        <w:spacing w:before="55" w:after="0" w:line="240" w:lineRule="auto"/>
        <w:rPr>
          <w:rFonts w:eastAsia="Trebuchet MS" w:cstheme="minorHAnsi"/>
          <w:b/>
          <w:sz w:val="20"/>
          <w:szCs w:val="20"/>
          <w:lang w:eastAsia="pl-PL" w:bidi="pl-PL"/>
        </w:rPr>
      </w:pPr>
      <w:r w:rsidRPr="0012562A">
        <w:rPr>
          <w:rFonts w:eastAsia="Trebuchet MS" w:cstheme="minorHAnsi"/>
          <w:b/>
          <w:sz w:val="20"/>
          <w:szCs w:val="20"/>
          <w:lang w:eastAsia="pl-PL" w:bidi="pl-PL"/>
        </w:rPr>
        <w:t>Kryteria</w:t>
      </w:r>
      <w:r w:rsidRPr="0012562A">
        <w:rPr>
          <w:rFonts w:eastAsia="Trebuchet MS" w:cstheme="minorHAnsi"/>
          <w:b/>
          <w:spacing w:val="-31"/>
          <w:sz w:val="20"/>
          <w:szCs w:val="20"/>
          <w:lang w:eastAsia="pl-PL" w:bidi="pl-PL"/>
        </w:rPr>
        <w:t xml:space="preserve"> </w:t>
      </w:r>
      <w:r w:rsidRPr="0012562A">
        <w:rPr>
          <w:rFonts w:eastAsia="Trebuchet MS" w:cstheme="minorHAnsi"/>
          <w:b/>
          <w:sz w:val="20"/>
          <w:szCs w:val="20"/>
          <w:lang w:eastAsia="pl-PL" w:bidi="pl-PL"/>
        </w:rPr>
        <w:t>oceny</w:t>
      </w:r>
      <w:r w:rsidRPr="0012562A">
        <w:rPr>
          <w:rFonts w:eastAsia="Trebuchet MS" w:cstheme="minorHAnsi"/>
          <w:b/>
          <w:spacing w:val="-28"/>
          <w:sz w:val="20"/>
          <w:szCs w:val="20"/>
          <w:lang w:eastAsia="pl-PL" w:bidi="pl-PL"/>
        </w:rPr>
        <w:t xml:space="preserve"> </w:t>
      </w:r>
      <w:r w:rsidRPr="0012562A">
        <w:rPr>
          <w:rFonts w:eastAsia="Trebuchet MS" w:cstheme="minorHAnsi"/>
          <w:b/>
          <w:sz w:val="20"/>
          <w:szCs w:val="20"/>
          <w:lang w:eastAsia="pl-PL" w:bidi="pl-PL"/>
        </w:rPr>
        <w:t>i</w:t>
      </w:r>
      <w:r w:rsidRPr="0012562A">
        <w:rPr>
          <w:rFonts w:eastAsia="Trebuchet MS" w:cstheme="minorHAnsi"/>
          <w:b/>
          <w:spacing w:val="-28"/>
          <w:sz w:val="20"/>
          <w:szCs w:val="20"/>
          <w:lang w:eastAsia="pl-PL" w:bidi="pl-PL"/>
        </w:rPr>
        <w:t xml:space="preserve"> </w:t>
      </w:r>
      <w:r w:rsidRPr="0012562A">
        <w:rPr>
          <w:rFonts w:eastAsia="Trebuchet MS" w:cstheme="minorHAnsi"/>
          <w:b/>
          <w:sz w:val="20"/>
          <w:szCs w:val="20"/>
          <w:lang w:eastAsia="pl-PL" w:bidi="pl-PL"/>
        </w:rPr>
        <w:t>opisu</w:t>
      </w:r>
      <w:r w:rsidRPr="0012562A">
        <w:rPr>
          <w:rFonts w:eastAsia="Trebuchet MS" w:cstheme="minorHAnsi"/>
          <w:b/>
          <w:spacing w:val="-27"/>
          <w:sz w:val="20"/>
          <w:szCs w:val="20"/>
          <w:lang w:eastAsia="pl-PL" w:bidi="pl-PL"/>
        </w:rPr>
        <w:t xml:space="preserve"> </w:t>
      </w:r>
      <w:r w:rsidRPr="0012562A">
        <w:rPr>
          <w:rFonts w:eastAsia="Trebuchet MS" w:cstheme="minorHAnsi"/>
          <w:b/>
          <w:sz w:val="20"/>
          <w:szCs w:val="20"/>
          <w:lang w:eastAsia="pl-PL" w:bidi="pl-PL"/>
        </w:rPr>
        <w:t>sposobu</w:t>
      </w:r>
      <w:r w:rsidRPr="0012562A">
        <w:rPr>
          <w:rFonts w:eastAsia="Trebuchet MS" w:cstheme="minorHAnsi"/>
          <w:b/>
          <w:spacing w:val="-29"/>
          <w:sz w:val="20"/>
          <w:szCs w:val="20"/>
          <w:lang w:eastAsia="pl-PL" w:bidi="pl-PL"/>
        </w:rPr>
        <w:t xml:space="preserve"> </w:t>
      </w:r>
      <w:r w:rsidRPr="0012562A">
        <w:rPr>
          <w:rFonts w:eastAsia="Trebuchet MS" w:cstheme="minorHAnsi"/>
          <w:b/>
          <w:sz w:val="20"/>
          <w:szCs w:val="20"/>
          <w:lang w:eastAsia="pl-PL" w:bidi="pl-PL"/>
        </w:rPr>
        <w:t>przyznawania</w:t>
      </w:r>
      <w:r w:rsidRPr="0012562A">
        <w:rPr>
          <w:rFonts w:eastAsia="Trebuchet MS" w:cstheme="minorHAnsi"/>
          <w:b/>
          <w:spacing w:val="-30"/>
          <w:sz w:val="20"/>
          <w:szCs w:val="20"/>
          <w:lang w:eastAsia="pl-PL" w:bidi="pl-PL"/>
        </w:rPr>
        <w:t xml:space="preserve"> </w:t>
      </w:r>
      <w:r w:rsidRPr="0012562A">
        <w:rPr>
          <w:rFonts w:eastAsia="Trebuchet MS" w:cstheme="minorHAnsi"/>
          <w:b/>
          <w:sz w:val="20"/>
          <w:szCs w:val="20"/>
          <w:lang w:eastAsia="pl-PL" w:bidi="pl-PL"/>
        </w:rPr>
        <w:t>punktacji:</w:t>
      </w:r>
    </w:p>
    <w:p w:rsidR="00722228" w:rsidRPr="0012562A" w:rsidRDefault="00722228" w:rsidP="00722228">
      <w:pPr>
        <w:widowControl w:val="0"/>
        <w:tabs>
          <w:tab w:val="left" w:pos="597"/>
        </w:tabs>
        <w:autoSpaceDE w:val="0"/>
        <w:autoSpaceDN w:val="0"/>
        <w:spacing w:before="55" w:after="0" w:line="240" w:lineRule="auto"/>
        <w:rPr>
          <w:rFonts w:eastAsia="Trebuchet MS" w:cstheme="minorHAnsi"/>
          <w:b/>
          <w:sz w:val="20"/>
          <w:szCs w:val="20"/>
          <w:lang w:eastAsia="pl-PL" w:bidi="pl-PL"/>
        </w:rPr>
      </w:pPr>
    </w:p>
    <w:p w:rsidR="00722228" w:rsidRPr="0012562A" w:rsidRDefault="00722228" w:rsidP="00722228">
      <w:pPr>
        <w:widowControl w:val="0"/>
        <w:tabs>
          <w:tab w:val="left" w:pos="597"/>
        </w:tabs>
        <w:autoSpaceDE w:val="0"/>
        <w:autoSpaceDN w:val="0"/>
        <w:spacing w:before="55" w:after="0" w:line="240" w:lineRule="auto"/>
        <w:rPr>
          <w:rFonts w:eastAsia="Trebuchet MS" w:cstheme="minorHAnsi"/>
          <w:sz w:val="20"/>
          <w:szCs w:val="20"/>
          <w:lang w:eastAsia="pl-PL" w:bidi="pl-PL"/>
        </w:rPr>
      </w:pPr>
      <w:r w:rsidRPr="0012562A">
        <w:rPr>
          <w:rFonts w:eastAsia="Trebuchet MS" w:cstheme="minorHAnsi"/>
          <w:sz w:val="20"/>
          <w:szCs w:val="20"/>
          <w:lang w:eastAsia="pl-PL" w:bidi="pl-PL"/>
        </w:rPr>
        <w:t xml:space="preserve">Kryterium 1 - takie samo dla każdej z 11 części zamówienia: </w:t>
      </w:r>
    </w:p>
    <w:p w:rsidR="00722228" w:rsidRPr="0012562A" w:rsidRDefault="00722228" w:rsidP="00722228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FF0000"/>
          <w:sz w:val="20"/>
          <w:szCs w:val="20"/>
          <w:lang w:eastAsia="pl-PL" w:bidi="pl-P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7255"/>
      </w:tblGrid>
      <w:tr w:rsidR="00722228" w:rsidRPr="0012562A" w:rsidTr="008C0DE3">
        <w:trPr>
          <w:trHeight w:val="268"/>
          <w:jc w:val="center"/>
        </w:trPr>
        <w:tc>
          <w:tcPr>
            <w:tcW w:w="9379" w:type="dxa"/>
            <w:gridSpan w:val="2"/>
            <w:shd w:val="clear" w:color="auto" w:fill="D9D9D9"/>
          </w:tcPr>
          <w:p w:rsidR="00722228" w:rsidRPr="0012562A" w:rsidRDefault="00722228" w:rsidP="008C0DE3">
            <w:pPr>
              <w:spacing w:line="248" w:lineRule="exact"/>
              <w:ind w:left="143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Kryterium nr 1: Cena netto realizacji zamówienia:</w:t>
            </w:r>
          </w:p>
          <w:p w:rsidR="00722228" w:rsidRPr="0012562A" w:rsidRDefault="00722228" w:rsidP="008C0DE3">
            <w:pPr>
              <w:spacing w:line="248" w:lineRule="exact"/>
              <w:ind w:left="143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</w:tc>
      </w:tr>
      <w:tr w:rsidR="00722228" w:rsidRPr="0012562A" w:rsidTr="008C0DE3">
        <w:trPr>
          <w:trHeight w:val="1123"/>
          <w:jc w:val="center"/>
        </w:trPr>
        <w:tc>
          <w:tcPr>
            <w:tcW w:w="2124" w:type="dxa"/>
            <w:shd w:val="clear" w:color="auto" w:fill="D9D9D9"/>
          </w:tcPr>
          <w:p w:rsidR="00722228" w:rsidRPr="0012562A" w:rsidRDefault="00722228" w:rsidP="008C0DE3">
            <w:pPr>
              <w:spacing w:before="2"/>
              <w:ind w:left="143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>Liczba punktów, którą</w:t>
            </w:r>
          </w:p>
          <w:p w:rsidR="00722228" w:rsidRPr="0012562A" w:rsidRDefault="00722228" w:rsidP="008C0DE3">
            <w:pPr>
              <w:spacing w:before="4"/>
              <w:ind w:left="143" w:right="160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 xml:space="preserve">można zdobyć za kryterium </w:t>
            </w: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Cena realizacji</w:t>
            </w:r>
          </w:p>
        </w:tc>
        <w:tc>
          <w:tcPr>
            <w:tcW w:w="7255" w:type="dxa"/>
            <w:shd w:val="clear" w:color="auto" w:fill="D9D9D9"/>
          </w:tcPr>
          <w:p w:rsidR="00722228" w:rsidRPr="0012562A" w:rsidRDefault="00722228" w:rsidP="008C0DE3">
            <w:pPr>
              <w:spacing w:before="1"/>
              <w:ind w:left="143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 xml:space="preserve">Opis sposobu przyznawania punktacji za spełnienie kryterium </w:t>
            </w: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Cena realizacji zamówienia.</w:t>
            </w:r>
          </w:p>
        </w:tc>
      </w:tr>
      <w:tr w:rsidR="00722228" w:rsidRPr="0012562A" w:rsidTr="008C0DE3">
        <w:trPr>
          <w:trHeight w:val="416"/>
          <w:jc w:val="center"/>
        </w:trPr>
        <w:tc>
          <w:tcPr>
            <w:tcW w:w="2124" w:type="dxa"/>
            <w:tcBorders>
              <w:bottom w:val="single" w:sz="4" w:space="0" w:color="000000"/>
            </w:tcBorders>
          </w:tcPr>
          <w:p w:rsidR="00722228" w:rsidRPr="0012562A" w:rsidRDefault="00722228" w:rsidP="008C0DE3">
            <w:pPr>
              <w:ind w:left="656" w:right="616"/>
              <w:jc w:val="center"/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left="656" w:right="616"/>
              <w:jc w:val="center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5 pkt</w:t>
            </w:r>
          </w:p>
          <w:p w:rsidR="00722228" w:rsidRPr="0012562A" w:rsidRDefault="00722228" w:rsidP="008C0DE3">
            <w:pPr>
              <w:ind w:left="656" w:right="616"/>
              <w:jc w:val="center"/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Waga - 20</w:t>
            </w:r>
          </w:p>
        </w:tc>
        <w:tc>
          <w:tcPr>
            <w:tcW w:w="7255" w:type="dxa"/>
            <w:tcBorders>
              <w:bottom w:val="single" w:sz="4" w:space="0" w:color="000000"/>
            </w:tcBorders>
            <w:shd w:val="clear" w:color="auto" w:fill="D9D9D9"/>
          </w:tcPr>
          <w:p w:rsidR="00722228" w:rsidRPr="0012562A" w:rsidRDefault="00722228" w:rsidP="008C0DE3">
            <w:pPr>
              <w:ind w:left="139"/>
              <w:jc w:val="both"/>
              <w:rPr>
                <w:rFonts w:cstheme="minorHAnsi"/>
                <w:color w:val="FF0000"/>
                <w:sz w:val="20"/>
                <w:szCs w:val="20"/>
                <w:lang w:val="pl-PL"/>
              </w:rPr>
            </w:pPr>
          </w:p>
          <w:p w:rsidR="00722228" w:rsidRPr="0012562A" w:rsidRDefault="00722228" w:rsidP="008C0DE3">
            <w:pPr>
              <w:ind w:left="139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Sposób wyliczania punktacji będzie odbywać się zgodnie z poniższym schematem:</w:t>
            </w:r>
          </w:p>
          <w:p w:rsidR="00722228" w:rsidRPr="0012562A" w:rsidRDefault="00722228" w:rsidP="008C0DE3">
            <w:pPr>
              <w:jc w:val="both"/>
              <w:rPr>
                <w:rFonts w:eastAsia="Trebuchet MS" w:cstheme="minorHAnsi"/>
                <w:sz w:val="20"/>
                <w:szCs w:val="20"/>
                <w:lang w:val="pl-PL"/>
              </w:rPr>
            </w:pPr>
          </w:p>
          <w:p w:rsidR="00722228" w:rsidRPr="0012562A" w:rsidRDefault="00722228" w:rsidP="008C0DE3">
            <w:pPr>
              <w:jc w:val="both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W kryterium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cena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można uzyskać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5 punktów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w następujący sposób: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5"/>
              </w:numPr>
              <w:spacing w:after="120"/>
              <w:ind w:left="567" w:hanging="283"/>
              <w:jc w:val="both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5 punktów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– </w:t>
            </w:r>
            <w:r w:rsidRPr="0012562A">
              <w:rPr>
                <w:rFonts w:eastAsia="Trebuchet MS" w:cstheme="minorHAnsi"/>
                <w:sz w:val="20"/>
                <w:szCs w:val="20"/>
                <w:u w:val="single"/>
                <w:lang w:val="pl-PL"/>
              </w:rPr>
              <w:t>najniższa oferta cenowa sumarycznie netto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,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4 punkty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– druga z kolei oferta,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3 punkty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– trzecia z kolei oferta,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2 punkty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– czwarta z kolei oferta, </w:t>
            </w:r>
            <w:r w:rsidRPr="0012562A">
              <w:rPr>
                <w:rFonts w:eastAsia="Trebuchet MS" w:cstheme="minorHAnsi"/>
                <w:b/>
                <w:bCs/>
                <w:sz w:val="20"/>
                <w:szCs w:val="20"/>
                <w:lang w:val="pl-PL"/>
              </w:rPr>
              <w:t>1 punkt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– </w:t>
            </w:r>
            <w:r w:rsidRPr="0012562A">
              <w:rPr>
                <w:rFonts w:eastAsia="Trebuchet MS" w:cstheme="minorHAnsi"/>
                <w:bCs/>
                <w:sz w:val="20"/>
                <w:szCs w:val="20"/>
                <w:lang w:val="pl-PL"/>
              </w:rPr>
              <w:t>piąta z kolei oferta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, 0 punktów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- kolejne.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5"/>
              </w:numPr>
              <w:spacing w:after="120"/>
              <w:ind w:left="567" w:hanging="283"/>
              <w:jc w:val="both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bCs/>
                <w:sz w:val="20"/>
                <w:szCs w:val="20"/>
                <w:lang w:val="pl-PL"/>
              </w:rPr>
              <w:t xml:space="preserve">Przy ocenie uwzględniana cena netto. </w:t>
            </w:r>
          </w:p>
          <w:p w:rsidR="00722228" w:rsidRPr="0012562A" w:rsidRDefault="00722228" w:rsidP="008C0DE3">
            <w:pPr>
              <w:jc w:val="both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b/>
                <w:sz w:val="20"/>
                <w:szCs w:val="20"/>
                <w:u w:val="single"/>
                <w:lang w:val="pl-PL"/>
              </w:rPr>
              <w:t>*Kryterium CENA. Cena oferty</w:t>
            </w:r>
            <w:r w:rsidRPr="0012562A">
              <w:rPr>
                <w:rFonts w:cstheme="minorHAnsi"/>
                <w:sz w:val="20"/>
                <w:szCs w:val="20"/>
                <w:u w:val="single"/>
                <w:lang w:val="pl-PL"/>
              </w:rPr>
              <w:t xml:space="preserve"> jest </w:t>
            </w:r>
            <w:r w:rsidRPr="0012562A">
              <w:rPr>
                <w:rFonts w:cstheme="minorHAnsi"/>
                <w:b/>
                <w:sz w:val="20"/>
                <w:szCs w:val="20"/>
                <w:u w:val="single"/>
                <w:lang w:val="pl-PL"/>
              </w:rPr>
              <w:t>ceną netto</w:t>
            </w:r>
            <w:r w:rsidRPr="0012562A">
              <w:rPr>
                <w:rFonts w:cstheme="minorHAnsi"/>
                <w:sz w:val="20"/>
                <w:szCs w:val="20"/>
                <w:u w:val="single"/>
                <w:lang w:val="pl-PL"/>
              </w:rPr>
              <w:t xml:space="preserve"> za realizację przedmiotu zamówienia (części zamówienia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część I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.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i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/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lub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 II 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i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/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lub III i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/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lub IV i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/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lub V i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/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lub VI i/lub VII i/lub VIII i/lub IX i/lub X i/lub XI)</w:t>
            </w:r>
          </w:p>
          <w:p w:rsidR="00722228" w:rsidRPr="0012562A" w:rsidRDefault="00722228" w:rsidP="008C0DE3">
            <w:pPr>
              <w:jc w:val="both"/>
              <w:rPr>
                <w:rFonts w:eastAsia="Trebuchet MS" w:cstheme="minorHAnsi"/>
                <w:sz w:val="20"/>
                <w:szCs w:val="20"/>
                <w:lang w:val="pl-PL"/>
              </w:rPr>
            </w:pPr>
          </w:p>
          <w:p w:rsidR="00722228" w:rsidRPr="0012562A" w:rsidRDefault="00722228" w:rsidP="008C0DE3">
            <w:pPr>
              <w:adjustRightInd w:val="0"/>
              <w:jc w:val="both"/>
              <w:rPr>
                <w:rStyle w:val="Wyrnienieintensywne"/>
                <w:rFonts w:cstheme="minorHAnsi"/>
                <w:b/>
                <w:sz w:val="20"/>
                <w:szCs w:val="20"/>
                <w:u w:val="single"/>
                <w:lang w:val="pl-PL"/>
              </w:rPr>
            </w:pP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Maksymalna liczba punktów:</w:t>
            </w:r>
          </w:p>
          <w:p w:rsidR="00722228" w:rsidRPr="0012562A" w:rsidRDefault="00722228" w:rsidP="008C0DE3">
            <w:pPr>
              <w:pStyle w:val="Akapitzlist"/>
              <w:ind w:left="567"/>
              <w:jc w:val="both"/>
              <w:rPr>
                <w:rFonts w:eastAsia="Trebuchet MS" w:cstheme="minorHAnsi"/>
                <w:iCs/>
                <w:sz w:val="20"/>
                <w:szCs w:val="20"/>
                <w:lang w:val="pl-PL"/>
              </w:rPr>
            </w:pPr>
          </w:p>
          <w:p w:rsidR="00722228" w:rsidRPr="0012562A" w:rsidRDefault="00722228" w:rsidP="008C0DE3">
            <w:pPr>
              <w:jc w:val="both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Suma punktów: [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SUMA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]: 5 x 20 =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100</w:t>
            </w:r>
          </w:p>
          <w:p w:rsidR="00722228" w:rsidRPr="0012562A" w:rsidRDefault="00722228" w:rsidP="008C0DE3">
            <w:pPr>
              <w:ind w:left="360"/>
              <w:rPr>
                <w:rFonts w:eastAsia="Trebuchet MS" w:cstheme="minorHAnsi"/>
                <w:b/>
                <w:i/>
                <w:color w:val="5B9BD5" w:themeColor="accent1"/>
                <w:sz w:val="20"/>
                <w:szCs w:val="20"/>
                <w:lang w:val="pl-PL"/>
              </w:rPr>
            </w:pPr>
          </w:p>
          <w:p w:rsidR="00722228" w:rsidRPr="0012562A" w:rsidRDefault="00722228" w:rsidP="008C0DE3">
            <w:pPr>
              <w:jc w:val="both"/>
              <w:rPr>
                <w:rFonts w:eastAsia="Trebuchet MS" w:cstheme="minorHAnsi"/>
                <w:color w:val="00B050"/>
                <w:sz w:val="20"/>
                <w:szCs w:val="20"/>
                <w:u w:val="single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W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każdej części 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zamówienia (</w:t>
            </w:r>
            <w:r w:rsidRPr="0012562A">
              <w:rPr>
                <w:rFonts w:cstheme="minorHAnsi"/>
                <w:sz w:val="20"/>
                <w:szCs w:val="20"/>
                <w:u w:val="single"/>
                <w:lang w:val="pl-PL"/>
              </w:rPr>
              <w:t xml:space="preserve">(części zamówienia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część I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.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i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/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lub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 II 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i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/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lub III i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/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lub IV i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/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lub V i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/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lub VI i/lub VII i/lub VIII i/lub IX i/lub X i/lub XI) można uzyskać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100 punktów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.</w:t>
            </w:r>
          </w:p>
          <w:p w:rsidR="00722228" w:rsidRPr="0012562A" w:rsidRDefault="00722228" w:rsidP="008C0DE3">
            <w:pPr>
              <w:ind w:left="139"/>
              <w:jc w:val="both"/>
              <w:rPr>
                <w:rFonts w:cstheme="minorHAnsi"/>
                <w:color w:val="FF0000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color w:val="FF0000"/>
                <w:sz w:val="20"/>
                <w:szCs w:val="20"/>
                <w:lang w:val="pl-PL"/>
              </w:rPr>
              <w:t>  </w:t>
            </w:r>
          </w:p>
          <w:p w:rsidR="00722228" w:rsidRPr="0012562A" w:rsidRDefault="00722228" w:rsidP="008C0DE3">
            <w:pPr>
              <w:ind w:left="139" w:right="17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Zamawiający po dokonaniu oceny nadesłanych ofert dokona wyboru najkorzystniejszej oferty co zostanie udokumentowane protokołem z postępowania o udzielenie zamówienia wraz z upublicznieniem wyników postępowania w taki sposób w jaki zostało upublicznione zapytanie ofertowe.</w:t>
            </w:r>
          </w:p>
          <w:p w:rsidR="00722228" w:rsidRPr="0012562A" w:rsidRDefault="00722228" w:rsidP="008C0DE3">
            <w:pPr>
              <w:ind w:left="139"/>
              <w:jc w:val="both"/>
              <w:rPr>
                <w:rFonts w:cstheme="minorHAnsi"/>
                <w:color w:val="FF0000"/>
                <w:sz w:val="20"/>
                <w:szCs w:val="20"/>
                <w:u w:val="single"/>
                <w:lang w:val="pl-PL"/>
              </w:rPr>
            </w:pPr>
          </w:p>
          <w:p w:rsidR="00722228" w:rsidRPr="0012562A" w:rsidRDefault="00722228" w:rsidP="008C0DE3">
            <w:pPr>
              <w:ind w:left="139" w:right="170"/>
              <w:jc w:val="both"/>
              <w:rPr>
                <w:rFonts w:cstheme="minorHAnsi"/>
                <w:sz w:val="20"/>
                <w:szCs w:val="20"/>
                <w:u w:val="single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W przypadku ofert w których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Cena 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wyrażona będzie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w walucie obcej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, cena oferty zostanie przeliczona na cenę w PLN, po średnim kursie NBP z dnia poprzedzającego dzień sporządzenia protokołu z wyboru wykonawcy niniejszego postępowania. </w:t>
            </w:r>
          </w:p>
          <w:p w:rsidR="00722228" w:rsidRPr="0012562A" w:rsidRDefault="00722228" w:rsidP="008C0DE3">
            <w:pPr>
              <w:ind w:left="139"/>
              <w:jc w:val="both"/>
              <w:rPr>
                <w:rFonts w:cstheme="minorHAnsi"/>
                <w:color w:val="FF0000"/>
                <w:sz w:val="20"/>
                <w:szCs w:val="20"/>
                <w:lang w:val="pl-PL"/>
              </w:rPr>
            </w:pPr>
          </w:p>
        </w:tc>
      </w:tr>
    </w:tbl>
    <w:p w:rsidR="00722228" w:rsidRPr="0012562A" w:rsidRDefault="00722228" w:rsidP="00722228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FF0000"/>
          <w:sz w:val="20"/>
          <w:szCs w:val="20"/>
          <w:lang w:eastAsia="pl-PL" w:bidi="pl-PL"/>
        </w:rPr>
      </w:pPr>
    </w:p>
    <w:p w:rsidR="00722228" w:rsidRPr="0012562A" w:rsidRDefault="00722228" w:rsidP="00722228">
      <w:pPr>
        <w:widowControl w:val="0"/>
        <w:autoSpaceDE w:val="0"/>
        <w:autoSpaceDN w:val="0"/>
        <w:spacing w:after="0" w:line="254" w:lineRule="auto"/>
        <w:ind w:left="142" w:right="262"/>
        <w:jc w:val="both"/>
        <w:rPr>
          <w:rFonts w:eastAsia="Arial" w:cstheme="minorHAnsi"/>
          <w:sz w:val="20"/>
          <w:szCs w:val="20"/>
          <w:lang w:eastAsia="pl-PL" w:bidi="pl-PL"/>
        </w:rPr>
      </w:pPr>
      <w:r w:rsidRPr="0012562A">
        <w:rPr>
          <w:rFonts w:eastAsia="Arial" w:cstheme="minorHAnsi"/>
          <w:sz w:val="20"/>
          <w:szCs w:val="20"/>
          <w:lang w:eastAsia="pl-PL" w:bidi="pl-PL"/>
        </w:rPr>
        <w:t>Wybrana</w:t>
      </w:r>
      <w:r w:rsidRPr="0012562A">
        <w:rPr>
          <w:rFonts w:eastAsia="Arial" w:cstheme="minorHAnsi"/>
          <w:spacing w:val="-20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zostanie</w:t>
      </w:r>
      <w:r w:rsidRPr="0012562A">
        <w:rPr>
          <w:rFonts w:eastAsia="Arial" w:cstheme="minorHAnsi"/>
          <w:spacing w:val="-19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oferta</w:t>
      </w:r>
      <w:r w:rsidRPr="0012562A">
        <w:rPr>
          <w:rFonts w:eastAsia="Arial" w:cstheme="minorHAnsi"/>
          <w:spacing w:val="-19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podmiotu,</w:t>
      </w:r>
      <w:r w:rsidRPr="0012562A">
        <w:rPr>
          <w:rFonts w:eastAsia="Arial" w:cstheme="minorHAnsi"/>
          <w:spacing w:val="-19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który</w:t>
      </w:r>
      <w:r w:rsidRPr="0012562A">
        <w:rPr>
          <w:rFonts w:eastAsia="Arial" w:cstheme="minorHAnsi"/>
          <w:spacing w:val="-19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uzyska</w:t>
      </w:r>
      <w:r w:rsidRPr="0012562A">
        <w:rPr>
          <w:rFonts w:eastAsia="Arial" w:cstheme="minorHAnsi"/>
          <w:spacing w:val="-19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największą</w:t>
      </w:r>
      <w:r w:rsidRPr="0012562A">
        <w:rPr>
          <w:rFonts w:eastAsia="Arial" w:cstheme="minorHAnsi"/>
          <w:spacing w:val="-19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liczbę</w:t>
      </w:r>
      <w:r w:rsidRPr="0012562A">
        <w:rPr>
          <w:rFonts w:eastAsia="Arial" w:cstheme="minorHAnsi"/>
          <w:spacing w:val="-20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punktów.</w:t>
      </w:r>
      <w:r w:rsidRPr="0012562A">
        <w:rPr>
          <w:rFonts w:eastAsia="Arial" w:cstheme="minorHAnsi"/>
          <w:spacing w:val="-20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W</w:t>
      </w:r>
      <w:r w:rsidRPr="0012562A">
        <w:rPr>
          <w:rFonts w:eastAsia="Arial" w:cstheme="minorHAnsi"/>
          <w:spacing w:val="-19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przypadku,</w:t>
      </w:r>
      <w:r w:rsidRPr="0012562A">
        <w:rPr>
          <w:rFonts w:eastAsia="Arial" w:cstheme="minorHAnsi"/>
          <w:spacing w:val="-19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gdy</w:t>
      </w:r>
      <w:r w:rsidRPr="0012562A">
        <w:rPr>
          <w:rFonts w:eastAsia="Arial" w:cstheme="minorHAnsi"/>
          <w:spacing w:val="-19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podmiot</w:t>
      </w:r>
      <w:r w:rsidRPr="0012562A">
        <w:rPr>
          <w:rFonts w:eastAsia="Arial" w:cstheme="minorHAnsi"/>
          <w:sz w:val="20"/>
          <w:szCs w:val="20"/>
          <w:lang w:eastAsia="pl-PL" w:bidi="pl-PL"/>
        </w:rPr>
        <w:br/>
      </w:r>
      <w:r w:rsidRPr="0012562A">
        <w:rPr>
          <w:rFonts w:eastAsia="Arial" w:cstheme="minorHAnsi"/>
          <w:spacing w:val="-19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z największą liczbą punktów odstąpi od podpisania umowy; podpisana zostanie umowa z kolejnym, pod względem</w:t>
      </w:r>
      <w:r w:rsidRPr="0012562A">
        <w:rPr>
          <w:rFonts w:eastAsia="Arial" w:cstheme="minorHAnsi"/>
          <w:spacing w:val="-18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liczby</w:t>
      </w:r>
      <w:r w:rsidRPr="0012562A">
        <w:rPr>
          <w:rFonts w:eastAsia="Arial" w:cstheme="minorHAnsi"/>
          <w:spacing w:val="-16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punktów,</w:t>
      </w:r>
      <w:r w:rsidRPr="0012562A">
        <w:rPr>
          <w:rFonts w:eastAsia="Arial" w:cstheme="minorHAnsi"/>
          <w:spacing w:val="-14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podmiotem</w:t>
      </w:r>
      <w:r w:rsidRPr="0012562A">
        <w:rPr>
          <w:rFonts w:eastAsia="Arial" w:cstheme="minorHAnsi"/>
          <w:spacing w:val="-15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składającym</w:t>
      </w:r>
      <w:r w:rsidRPr="0012562A">
        <w:rPr>
          <w:rFonts w:eastAsia="Arial" w:cstheme="minorHAnsi"/>
          <w:spacing w:val="-17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ofertę</w:t>
      </w:r>
      <w:r w:rsidRPr="0012562A">
        <w:rPr>
          <w:rFonts w:eastAsia="Arial" w:cstheme="minorHAnsi"/>
          <w:spacing w:val="-14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w</w:t>
      </w:r>
      <w:r w:rsidRPr="0012562A">
        <w:rPr>
          <w:rFonts w:eastAsia="Arial" w:cstheme="minorHAnsi"/>
          <w:spacing w:val="-18"/>
          <w:sz w:val="20"/>
          <w:szCs w:val="20"/>
          <w:lang w:eastAsia="pl-PL" w:bidi="pl-PL"/>
        </w:rPr>
        <w:t xml:space="preserve"> </w:t>
      </w:r>
      <w:r w:rsidRPr="0012562A">
        <w:rPr>
          <w:rFonts w:eastAsia="Arial" w:cstheme="minorHAnsi"/>
          <w:sz w:val="20"/>
          <w:szCs w:val="20"/>
          <w:lang w:eastAsia="pl-PL" w:bidi="pl-PL"/>
        </w:rPr>
        <w:t>postępowaniu.</w:t>
      </w:r>
    </w:p>
    <w:p w:rsidR="00722228" w:rsidRPr="0012562A" w:rsidRDefault="00722228" w:rsidP="00722228">
      <w:pPr>
        <w:widowControl w:val="0"/>
        <w:autoSpaceDE w:val="0"/>
        <w:autoSpaceDN w:val="0"/>
        <w:spacing w:after="0" w:line="240" w:lineRule="auto"/>
        <w:ind w:left="142"/>
        <w:rPr>
          <w:rFonts w:eastAsia="Arial" w:cstheme="minorHAnsi"/>
          <w:color w:val="FF0000"/>
          <w:sz w:val="20"/>
          <w:szCs w:val="20"/>
          <w:lang w:eastAsia="pl-PL" w:bidi="pl-PL"/>
        </w:rPr>
      </w:pPr>
    </w:p>
    <w:p w:rsidR="00722228" w:rsidRPr="0012562A" w:rsidRDefault="00722228" w:rsidP="00722228">
      <w:pPr>
        <w:widowControl w:val="0"/>
        <w:tabs>
          <w:tab w:val="left" w:pos="597"/>
        </w:tabs>
        <w:autoSpaceDE w:val="0"/>
        <w:autoSpaceDN w:val="0"/>
        <w:spacing w:before="1" w:after="0" w:line="240" w:lineRule="auto"/>
        <w:outlineLvl w:val="1"/>
        <w:rPr>
          <w:rFonts w:eastAsia="Arial" w:cstheme="minorHAnsi"/>
          <w:b/>
          <w:bCs/>
          <w:color w:val="FF0000"/>
          <w:sz w:val="20"/>
          <w:szCs w:val="20"/>
          <w:lang w:eastAsia="pl-PL" w:bidi="pl-PL"/>
        </w:rPr>
      </w:pPr>
    </w:p>
    <w:p w:rsidR="00722228" w:rsidRPr="0012562A" w:rsidRDefault="00722228" w:rsidP="00722228">
      <w:pPr>
        <w:pStyle w:val="Akapitzlist"/>
        <w:widowControl w:val="0"/>
        <w:numPr>
          <w:ilvl w:val="0"/>
          <w:numId w:val="4"/>
        </w:numPr>
        <w:tabs>
          <w:tab w:val="left" w:pos="597"/>
        </w:tabs>
        <w:autoSpaceDE w:val="0"/>
        <w:autoSpaceDN w:val="0"/>
        <w:spacing w:before="1" w:after="0" w:line="240" w:lineRule="auto"/>
        <w:outlineLvl w:val="1"/>
        <w:rPr>
          <w:rFonts w:eastAsia="Arial" w:cstheme="minorHAnsi"/>
          <w:b/>
          <w:bCs/>
          <w:sz w:val="20"/>
          <w:szCs w:val="20"/>
          <w:lang w:eastAsia="pl-PL" w:bidi="pl-PL"/>
        </w:rPr>
      </w:pPr>
      <w:r w:rsidRPr="0012562A">
        <w:rPr>
          <w:rFonts w:eastAsia="Arial" w:cstheme="minorHAnsi"/>
          <w:b/>
          <w:bCs/>
          <w:sz w:val="20"/>
          <w:szCs w:val="20"/>
          <w:lang w:eastAsia="pl-PL" w:bidi="pl-PL"/>
        </w:rPr>
        <w:t>Informacje dodatkowe:</w:t>
      </w:r>
    </w:p>
    <w:p w:rsidR="00722228" w:rsidRPr="0012562A" w:rsidRDefault="00722228" w:rsidP="00722228">
      <w:pPr>
        <w:pStyle w:val="Akapitzlist"/>
        <w:widowControl w:val="0"/>
        <w:tabs>
          <w:tab w:val="left" w:pos="597"/>
        </w:tabs>
        <w:autoSpaceDE w:val="0"/>
        <w:autoSpaceDN w:val="0"/>
        <w:spacing w:before="1" w:after="0" w:line="240" w:lineRule="auto"/>
        <w:ind w:left="1068"/>
        <w:outlineLvl w:val="1"/>
        <w:rPr>
          <w:rFonts w:eastAsia="Arial" w:cstheme="minorHAnsi"/>
          <w:b/>
          <w:bCs/>
          <w:color w:val="FF0000"/>
          <w:sz w:val="20"/>
          <w:szCs w:val="20"/>
          <w:lang w:eastAsia="pl-PL" w:bidi="pl-PL"/>
        </w:rPr>
      </w:pPr>
    </w:p>
    <w:tbl>
      <w:tblPr>
        <w:tblStyle w:val="TableNormal"/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7269"/>
      </w:tblGrid>
      <w:tr w:rsidR="00722228" w:rsidRPr="0012562A" w:rsidTr="008C0DE3">
        <w:trPr>
          <w:trHeight w:val="58"/>
          <w:jc w:val="center"/>
        </w:trPr>
        <w:tc>
          <w:tcPr>
            <w:tcW w:w="1942" w:type="dxa"/>
            <w:shd w:val="clear" w:color="auto" w:fill="D9D9D9"/>
          </w:tcPr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spacing w:before="10"/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spacing w:line="242" w:lineRule="auto"/>
              <w:ind w:left="271" w:right="261" w:hanging="1"/>
              <w:jc w:val="center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 xml:space="preserve">Wytyczne do </w:t>
            </w:r>
            <w:r w:rsidRPr="0012562A">
              <w:rPr>
                <w:rFonts w:eastAsia="Arial" w:cstheme="minorHAnsi"/>
                <w:b/>
                <w:w w:val="95"/>
                <w:sz w:val="20"/>
                <w:szCs w:val="20"/>
                <w:lang w:val="pl-PL" w:eastAsia="pl-PL" w:bidi="pl-PL"/>
              </w:rPr>
              <w:t xml:space="preserve">przygotowania </w:t>
            </w: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ofert</w:t>
            </w: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color w:val="FF0000"/>
                <w:sz w:val="20"/>
                <w:szCs w:val="20"/>
                <w:lang w:eastAsia="pl-PL" w:bidi="pl-PL"/>
              </w:rPr>
            </w:pPr>
          </w:p>
          <w:p w:rsidR="00722228" w:rsidRPr="0012562A" w:rsidRDefault="00722228" w:rsidP="008C0DE3">
            <w:pPr>
              <w:jc w:val="center"/>
              <w:rPr>
                <w:rFonts w:eastAsia="Arial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  <w:tc>
          <w:tcPr>
            <w:tcW w:w="7269" w:type="dxa"/>
            <w:shd w:val="clear" w:color="auto" w:fill="auto"/>
          </w:tcPr>
          <w:p w:rsidR="00722228" w:rsidRPr="0012562A" w:rsidRDefault="00722228" w:rsidP="00722228">
            <w:pPr>
              <w:pStyle w:val="Akapitzlist"/>
              <w:numPr>
                <w:ilvl w:val="0"/>
                <w:numId w:val="9"/>
              </w:numPr>
              <w:ind w:left="1030" w:right="113"/>
              <w:jc w:val="both"/>
              <w:rPr>
                <w:rFonts w:eastAsia="Trebuchet MS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b/>
                <w:sz w:val="20"/>
                <w:szCs w:val="20"/>
                <w:lang w:val="pl-PL" w:eastAsia="pl-PL" w:bidi="pl-PL"/>
              </w:rPr>
              <w:t xml:space="preserve">INFORMACJE O MOŻLIWOŚCI SKŁADANIA OFERT CZĘŚCIOWYCH I WARIANTOWYCH </w:t>
            </w:r>
          </w:p>
          <w:p w:rsidR="00722228" w:rsidRPr="0012562A" w:rsidRDefault="00722228" w:rsidP="008C0DE3">
            <w:pPr>
              <w:pStyle w:val="Akapitzlist"/>
              <w:ind w:left="1440" w:right="113"/>
              <w:jc w:val="both"/>
              <w:rPr>
                <w:rFonts w:eastAsia="Trebuchet MS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722228">
            <w:pPr>
              <w:numPr>
                <w:ilvl w:val="0"/>
                <w:numId w:val="2"/>
              </w:numPr>
              <w:ind w:left="605" w:right="113" w:hanging="284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>Zamawiający przewiduje składanie ofert częściowych (oferent może złożyć ofertę na jedną lub więcej części zamówienia, zgodnie z opisem przedmiotu zamówienia).</w:t>
            </w:r>
          </w:p>
          <w:p w:rsidR="00722228" w:rsidRPr="0012562A" w:rsidRDefault="00722228" w:rsidP="00722228">
            <w:pPr>
              <w:numPr>
                <w:ilvl w:val="0"/>
                <w:numId w:val="2"/>
              </w:numPr>
              <w:ind w:left="605" w:right="113" w:hanging="284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>Zamawiający nie dopuszcza możliwości składania ofert wariantowych.</w:t>
            </w:r>
          </w:p>
          <w:p w:rsidR="00722228" w:rsidRPr="0012562A" w:rsidRDefault="00722228" w:rsidP="00722228">
            <w:pPr>
              <w:numPr>
                <w:ilvl w:val="0"/>
                <w:numId w:val="2"/>
              </w:numPr>
              <w:ind w:left="605" w:right="113" w:hanging="284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>Złożenie przez Wykonawcę więcej niż jednej oferty lub oferty zawierającej rozwiązania wariantowe lub alternatywne spowoduje jej odrzucenie (dotyczy oferty w ramach jednej części zamówienia).</w:t>
            </w:r>
          </w:p>
          <w:p w:rsidR="00722228" w:rsidRPr="0012562A" w:rsidRDefault="00722228" w:rsidP="00722228">
            <w:pPr>
              <w:numPr>
                <w:ilvl w:val="0"/>
                <w:numId w:val="2"/>
              </w:numPr>
              <w:ind w:left="605" w:right="113" w:hanging="284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>Każdy Wykonawca w ramach danej części może złożyć tylko jedną ofertę</w:t>
            </w: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br/>
              <w:t xml:space="preserve"> i zaproponować tylko jedną cenę całkowitą netto oraz brutto, z dokładnością do dwóch miejsc po przecinku.</w:t>
            </w:r>
          </w:p>
          <w:p w:rsidR="00722228" w:rsidRPr="0012562A" w:rsidRDefault="00722228" w:rsidP="008C0DE3">
            <w:pPr>
              <w:ind w:left="720" w:right="113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722228">
            <w:pPr>
              <w:pStyle w:val="Akapitzlist"/>
              <w:numPr>
                <w:ilvl w:val="0"/>
                <w:numId w:val="9"/>
              </w:numPr>
              <w:ind w:left="1030" w:right="113"/>
              <w:jc w:val="both"/>
              <w:rPr>
                <w:rFonts w:eastAsia="Trebuchet MS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b/>
                <w:sz w:val="20"/>
                <w:szCs w:val="20"/>
                <w:lang w:val="pl-PL" w:eastAsia="pl-PL" w:bidi="pl-PL"/>
              </w:rPr>
              <w:t xml:space="preserve">INFORMACJE O PLANOWANYCH ZAMÓWIENIACH </w:t>
            </w:r>
          </w:p>
          <w:p w:rsidR="00722228" w:rsidRPr="0012562A" w:rsidRDefault="00722228" w:rsidP="008C0DE3">
            <w:pPr>
              <w:pStyle w:val="Akapitzlist"/>
              <w:ind w:left="1440" w:right="113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</w:p>
          <w:p w:rsidR="00722228" w:rsidRDefault="00722228" w:rsidP="00722228">
            <w:pPr>
              <w:numPr>
                <w:ilvl w:val="0"/>
                <w:numId w:val="10"/>
              </w:numPr>
              <w:ind w:left="605" w:right="113" w:hanging="284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>Zamawiający nie przewiduje w okresie 3 lat od udzielenia zamówienia podstawowego, przewidzianego w zapytaniu ofertowym, zamówień uzupełniających na usługi polegających na powtórzeniu podobnych usług.</w:t>
            </w:r>
          </w:p>
          <w:p w:rsidR="00722228" w:rsidRDefault="00722228" w:rsidP="008C0DE3">
            <w:pPr>
              <w:ind w:right="113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right="113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left="720" w:right="113"/>
              <w:jc w:val="both"/>
              <w:rPr>
                <w:rFonts w:eastAsia="Trebuchet MS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722228">
            <w:pPr>
              <w:pStyle w:val="Akapitzlist"/>
              <w:numPr>
                <w:ilvl w:val="0"/>
                <w:numId w:val="9"/>
              </w:numPr>
              <w:ind w:left="1030" w:right="113"/>
              <w:jc w:val="both"/>
              <w:rPr>
                <w:rFonts w:eastAsia="Trebuchet MS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b/>
                <w:sz w:val="20"/>
                <w:szCs w:val="20"/>
                <w:lang w:val="pl-PL" w:eastAsia="pl-PL" w:bidi="pl-PL"/>
              </w:rPr>
              <w:t xml:space="preserve">SPOSÓB PRZYGOTOWANIA OFERT </w:t>
            </w:r>
          </w:p>
          <w:p w:rsidR="00722228" w:rsidRPr="0012562A" w:rsidRDefault="00722228" w:rsidP="008C0DE3">
            <w:pPr>
              <w:pStyle w:val="Akapitzlist"/>
              <w:ind w:left="1030" w:right="113"/>
              <w:jc w:val="both"/>
              <w:rPr>
                <w:rFonts w:eastAsia="Trebuchet MS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722228">
            <w:pPr>
              <w:pStyle w:val="Akapitzlist"/>
              <w:numPr>
                <w:ilvl w:val="0"/>
                <w:numId w:val="8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Oferta i załącznik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12562A">
              <w:rPr>
                <w:rFonts w:cstheme="minorHAnsi"/>
                <w:sz w:val="20"/>
                <w:szCs w:val="20"/>
                <w:lang w:val="pl-PL"/>
              </w:rPr>
              <w:t xml:space="preserve">musi zostać złożony na </w:t>
            </w:r>
            <w:r w:rsidRPr="0012562A">
              <w:rPr>
                <w:rFonts w:cstheme="minorHAnsi"/>
                <w:bCs/>
                <w:sz w:val="20"/>
                <w:szCs w:val="20"/>
                <w:lang w:val="pl-PL"/>
              </w:rPr>
              <w:t>Formularzu Zamawiającego</w:t>
            </w:r>
            <w:r w:rsidRPr="0012562A">
              <w:rPr>
                <w:rFonts w:cs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2562A">
              <w:rPr>
                <w:rFonts w:cstheme="minorHAnsi"/>
                <w:bCs/>
                <w:sz w:val="20"/>
                <w:szCs w:val="20"/>
                <w:lang w:val="pl-PL"/>
              </w:rPr>
              <w:t xml:space="preserve">(na wzorze stanowiącym załącznik do przedmiotowego zapytania ofertowego). 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8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Oferta powinna zostać opatrzona datą i podpisana przez osobę/y upoważnione do reprezentacji (zgodnie z właściwym dokumentem rejestrowym) bądź na 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lastRenderedPageBreak/>
              <w:t>podstawie stosownego pełnomocnictwa (w takiej sytuacji pełnomocnictwo powinno zostać dołączone do oferty).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8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Oferta powinna być uzupełniona o wszystkie elementy zgodnie ze wzorami stanowiącymi załącznik do niniejszego zapytania ofertowego.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8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W przypadku składania ofert drogą elektroniczną wymaga się skanu dokumentów przygotowanych w wyżej opisany sposób. 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8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 xml:space="preserve">Termin związania ofertą: oferta musi być ważna </w:t>
            </w:r>
            <w:r w:rsidRPr="0012562A">
              <w:rPr>
                <w:rFonts w:cstheme="minorHAnsi"/>
                <w:b/>
                <w:bCs/>
                <w:sz w:val="20"/>
                <w:szCs w:val="20"/>
                <w:lang w:val="pl-PL"/>
              </w:rPr>
              <w:t xml:space="preserve">minimum 45 dni </w:t>
            </w:r>
            <w:r w:rsidRPr="0012562A">
              <w:rPr>
                <w:rFonts w:cstheme="minorHAnsi"/>
                <w:sz w:val="20"/>
                <w:szCs w:val="20"/>
                <w:lang w:val="pl-PL"/>
              </w:rPr>
              <w:t>od dnia złożenia oferty.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8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Brak 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wymienionych poniżej elementów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skutkuje odrzucenie oferty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:</w:t>
            </w:r>
          </w:p>
          <w:p w:rsidR="00722228" w:rsidRPr="0012562A" w:rsidRDefault="00722228" w:rsidP="00722228">
            <w:pPr>
              <w:pStyle w:val="Akapitzlist"/>
              <w:numPr>
                <w:ilvl w:val="1"/>
                <w:numId w:val="11"/>
              </w:numPr>
              <w:ind w:left="1314" w:right="285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Oferta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złożona na innym wzorze niż załączone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do niniejszego zapytania ofertowego,</w:t>
            </w:r>
          </w:p>
          <w:p w:rsidR="00722228" w:rsidRPr="0012562A" w:rsidRDefault="00722228" w:rsidP="00722228">
            <w:pPr>
              <w:pStyle w:val="Akapitzlist"/>
              <w:numPr>
                <w:ilvl w:val="1"/>
                <w:numId w:val="11"/>
              </w:numPr>
              <w:ind w:left="1314" w:right="285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Oferta złożona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bez podpisu</w:t>
            </w:r>
            <w:r w:rsidRPr="0012562A">
              <w:rPr>
                <w:rFonts w:cstheme="minorHAnsi"/>
                <w:sz w:val="20"/>
                <w:szCs w:val="20"/>
                <w:lang w:val="pl-PL"/>
              </w:rPr>
              <w:t xml:space="preserve"> Dostawcy lub 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osoby upoważnionej przez Dostawcę,</w:t>
            </w:r>
          </w:p>
          <w:p w:rsidR="00722228" w:rsidRPr="0012562A" w:rsidRDefault="00722228" w:rsidP="00722228">
            <w:pPr>
              <w:pStyle w:val="Akapitzlist"/>
              <w:numPr>
                <w:ilvl w:val="1"/>
                <w:numId w:val="11"/>
              </w:numPr>
              <w:ind w:left="1314" w:right="285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Oferta bez </w:t>
            </w:r>
            <w:r w:rsidRPr="0012562A">
              <w:rPr>
                <w:rFonts w:cstheme="minorHAnsi"/>
                <w:b/>
                <w:sz w:val="20"/>
                <w:szCs w:val="20"/>
                <w:lang w:val="pl-PL"/>
              </w:rPr>
              <w:t>stosownych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 oświadczeń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warunkujących udział w zapytaniu ofertowym i wymaganych w zapytaniu ofertowym, w tym także dotyczące powiązań osobowo i kapitałowych (Załącznik nr 2 </w:t>
            </w:r>
            <w:r w:rsidRPr="0012562A">
              <w:rPr>
                <w:rFonts w:eastAsia="Trebuchet MS" w:cstheme="minorHAnsi"/>
                <w:i/>
                <w:sz w:val="20"/>
                <w:szCs w:val="20"/>
                <w:lang w:val="pl-PL"/>
              </w:rPr>
              <w:t>do zapytania ofertowego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). </w:t>
            </w:r>
            <w:r w:rsidRPr="0012562A">
              <w:rPr>
                <w:rFonts w:eastAsia="Trebuchet MS" w:cstheme="minorHAnsi"/>
                <w:sz w:val="20"/>
                <w:szCs w:val="20"/>
                <w:u w:val="single"/>
                <w:lang w:val="pl-PL"/>
              </w:rPr>
              <w:t xml:space="preserve">Wymagane jest </w:t>
            </w:r>
            <w:r w:rsidRPr="0012562A">
              <w:rPr>
                <w:rFonts w:cstheme="minorHAnsi"/>
                <w:sz w:val="20"/>
                <w:szCs w:val="20"/>
                <w:u w:val="single"/>
                <w:lang w:val="pl-PL"/>
              </w:rPr>
              <w:t>zaznaczenie przy każdym oświadczeniu</w:t>
            </w:r>
            <w:r w:rsidRPr="0012562A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1256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2562A">
              <w:rPr>
                <w:rFonts w:cstheme="minorHAnsi"/>
                <w:sz w:val="20"/>
                <w:szCs w:val="20"/>
                <w:lang w:val="pl-PL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Pr="0012562A">
              <w:rPr>
                <w:rFonts w:cstheme="minorHAnsi"/>
                <w:sz w:val="20"/>
                <w:szCs w:val="20"/>
              </w:rPr>
              <w:fldChar w:fldCharType="end"/>
            </w:r>
            <w:r w:rsidRPr="0012562A">
              <w:rPr>
                <w:rFonts w:cstheme="minorHAnsi"/>
                <w:sz w:val="20"/>
                <w:szCs w:val="20"/>
                <w:lang w:val="pl-PL"/>
              </w:rPr>
              <w:t>TAK,</w:t>
            </w:r>
          </w:p>
          <w:p w:rsidR="00722228" w:rsidRPr="0012562A" w:rsidRDefault="00722228" w:rsidP="00722228">
            <w:pPr>
              <w:pStyle w:val="Akapitzlist"/>
              <w:numPr>
                <w:ilvl w:val="1"/>
                <w:numId w:val="11"/>
              </w:numPr>
              <w:ind w:left="1314" w:right="285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Oferta nie jest ważna, co najmniej </w:t>
            </w:r>
            <w:r w:rsidRPr="0012562A">
              <w:rPr>
                <w:rFonts w:cstheme="minorHAnsi"/>
                <w:b/>
                <w:bCs/>
                <w:sz w:val="20"/>
                <w:szCs w:val="20"/>
                <w:lang w:val="pl-PL"/>
              </w:rPr>
              <w:t xml:space="preserve">45 dni </w:t>
            </w:r>
            <w:r w:rsidRPr="0012562A">
              <w:rPr>
                <w:rFonts w:cstheme="minorHAnsi"/>
                <w:sz w:val="20"/>
                <w:szCs w:val="20"/>
                <w:lang w:val="pl-PL"/>
              </w:rPr>
              <w:t>od dnia złożenia oferty.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8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Braki wymienionych poniżej elementów niepodlegające uzupełnieniu:</w:t>
            </w:r>
          </w:p>
          <w:p w:rsidR="00722228" w:rsidRPr="0012562A" w:rsidRDefault="00722228" w:rsidP="00722228">
            <w:pPr>
              <w:pStyle w:val="Akapitzlist"/>
              <w:numPr>
                <w:ilvl w:val="1"/>
                <w:numId w:val="12"/>
              </w:numPr>
              <w:ind w:left="1314" w:right="285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Odniesienie się do kryteriów oceny - brak odniesienia w kryterium skutkuje przyznanie 0 punktów w danym kryterium.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8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/>
              </w:rPr>
            </w:pP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Braki </w:t>
            </w:r>
            <w:r w:rsidRPr="0012562A">
              <w:rPr>
                <w:rFonts w:eastAsia="Trebuchet MS" w:cstheme="minorHAnsi"/>
                <w:b/>
                <w:sz w:val="20"/>
                <w:szCs w:val="20"/>
                <w:u w:val="single"/>
                <w:lang w:val="pl-PL"/>
              </w:rPr>
              <w:t>w okresie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terminu składania ofert mogą podlegać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uzupełnieniu za zgodą Zamawiającego.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Uzupełnienia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mogą być wykonane pod warunkiem, iż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nie będą miały one wpływu na wybór najkorzystniejszej oferty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. Mogą one być dokonane na prośbę Zamawiającego lub Dostawcy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jedynie w okresie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terminu składania ofert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8"/>
              </w:numPr>
              <w:tabs>
                <w:tab w:val="left" w:pos="2568"/>
              </w:tabs>
              <w:spacing w:before="7"/>
              <w:ind w:left="605" w:right="285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Braki </w:t>
            </w:r>
            <w:r w:rsidRPr="0012562A">
              <w:rPr>
                <w:rFonts w:eastAsia="Trebuchet MS" w:cstheme="minorHAnsi"/>
                <w:b/>
                <w:sz w:val="20"/>
                <w:szCs w:val="20"/>
                <w:u w:val="single"/>
                <w:lang w:val="pl-PL"/>
              </w:rPr>
              <w:t>po okresie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 xml:space="preserve"> składania ofert mogą podlegać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uzupełnieniu za zgodą Zamawiającego.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Uzupełnienia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 xml:space="preserve"> mogą być wykonane </w:t>
            </w:r>
            <w:r w:rsidRPr="0012562A">
              <w:rPr>
                <w:rFonts w:eastAsia="Trebuchet MS" w:cstheme="minorHAnsi"/>
                <w:b/>
                <w:sz w:val="20"/>
                <w:szCs w:val="20"/>
                <w:lang w:val="pl-PL"/>
              </w:rPr>
              <w:t>jedynie w zakresie oczywistych omyłek</w:t>
            </w: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.</w:t>
            </w: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ab/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8"/>
              </w:numPr>
              <w:tabs>
                <w:tab w:val="left" w:pos="2568"/>
              </w:tabs>
              <w:spacing w:before="7"/>
              <w:ind w:left="605" w:right="285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>Wykonawca może przed upływem terminu składania ofert zmienić lub wycofać ofertę.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8"/>
              </w:numPr>
              <w:tabs>
                <w:tab w:val="left" w:pos="2568"/>
              </w:tabs>
              <w:spacing w:before="7"/>
              <w:ind w:left="605" w:right="285" w:hanging="284"/>
              <w:jc w:val="both"/>
              <w:outlineLvl w:val="0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>Oferty, które wpłyną po terminie zostaną odrzucone.</w:t>
            </w:r>
          </w:p>
          <w:p w:rsidR="00722228" w:rsidRPr="0012562A" w:rsidRDefault="00722228" w:rsidP="008C0DE3">
            <w:pPr>
              <w:ind w:left="719" w:right="113"/>
              <w:jc w:val="both"/>
              <w:rPr>
                <w:rFonts w:eastAsia="Arial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</w:tc>
      </w:tr>
      <w:tr w:rsidR="00722228" w:rsidRPr="0012562A" w:rsidTr="008C0DE3">
        <w:trPr>
          <w:trHeight w:val="416"/>
          <w:jc w:val="center"/>
        </w:trPr>
        <w:tc>
          <w:tcPr>
            <w:tcW w:w="1942" w:type="dxa"/>
            <w:shd w:val="clear" w:color="auto" w:fill="D9D9D9"/>
            <w:vAlign w:val="center"/>
          </w:tcPr>
          <w:p w:rsidR="00722228" w:rsidRPr="0012562A" w:rsidRDefault="00722228" w:rsidP="008C0DE3">
            <w:pPr>
              <w:jc w:val="center"/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lastRenderedPageBreak/>
              <w:t xml:space="preserve">Dodatkowe postanowienia </w:t>
            </w:r>
          </w:p>
        </w:tc>
        <w:tc>
          <w:tcPr>
            <w:tcW w:w="7269" w:type="dxa"/>
            <w:shd w:val="clear" w:color="auto" w:fill="auto"/>
          </w:tcPr>
          <w:p w:rsidR="00722228" w:rsidRPr="0012562A" w:rsidRDefault="00722228" w:rsidP="008C0DE3">
            <w:pPr>
              <w:pStyle w:val="Akapitzlist"/>
              <w:spacing w:after="200" w:line="276" w:lineRule="auto"/>
              <w:ind w:left="605" w:right="285"/>
              <w:jc w:val="both"/>
              <w:outlineLvl w:val="0"/>
              <w:rPr>
                <w:rFonts w:cstheme="minorHAnsi"/>
                <w:color w:val="FF0000"/>
                <w:sz w:val="20"/>
                <w:szCs w:val="20"/>
                <w:lang w:val="pl-PL"/>
              </w:rPr>
            </w:pP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</w:tabs>
              <w:ind w:left="607" w:right="284" w:hanging="284"/>
              <w:jc w:val="both"/>
              <w:outlineLvl w:val="0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Złożenie oferty nie stanowi zawarcia umowy.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</w:tabs>
              <w:ind w:left="607" w:right="284" w:hanging="284"/>
              <w:jc w:val="both"/>
              <w:outlineLvl w:val="0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Zamawiający zastrzega sobie prawo do unieważnienia postępowania na każdym etapie bez podania przyczyny.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</w:tabs>
              <w:ind w:left="607" w:right="284" w:hanging="284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Zamawiający zastrzega sobie możliwość wyboru kolejnej wśród najkorzystniejszych ofert, jeżeli oferent, którego oferta zostanie wybrana jako najkorzystniejsza, uchyli się od umowy o realizację przedmiotu niniejszego zamówienia.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</w:tabs>
              <w:ind w:left="607" w:right="284" w:hanging="284"/>
              <w:jc w:val="both"/>
              <w:outlineLvl w:val="0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Zamawiający zastrzega, że otrzymane oferty mogą zostać przekazane w celu weryfikacji do właściwej Instytucji Pośredniczącej.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</w:tabs>
              <w:ind w:left="607" w:right="284" w:hanging="284"/>
              <w:jc w:val="both"/>
              <w:outlineLvl w:val="0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Zamawiający po dokonaniu oceny nadesłanych ofert dokona wyboru najkorzystniejszej oferty co zostanie udokumentowane protokołem postępowania o udzielenie zamówienia wraz z upublicznieniem wyników postępowania w taki sposób w jaki zostało upublicznione zapytanie ofertowe.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</w:tabs>
              <w:ind w:left="607" w:right="284" w:hanging="284"/>
              <w:jc w:val="both"/>
              <w:outlineLvl w:val="0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/>
              </w:rPr>
              <w:t>Zamawiający zaproponuje wybranemu Oferentowi, który uzyskał największą ilość punktów, zawarcie Umowy na realizację przedmiotu zamówienia.</w:t>
            </w:r>
            <w:r w:rsidRPr="0012562A">
              <w:rPr>
                <w:rFonts w:cstheme="minorHAnsi"/>
                <w:sz w:val="20"/>
                <w:szCs w:val="20"/>
                <w:lang w:val="pl-PL"/>
              </w:rPr>
              <w:t xml:space="preserve">  </w:t>
            </w:r>
          </w:p>
          <w:p w:rsidR="00722228" w:rsidRPr="0012562A" w:rsidRDefault="00722228" w:rsidP="008C0DE3">
            <w:pPr>
              <w:pStyle w:val="Akapitzlist"/>
              <w:ind w:left="607" w:right="284"/>
              <w:jc w:val="both"/>
              <w:outlineLvl w:val="0"/>
              <w:rPr>
                <w:rFonts w:eastAsia="Arial" w:cstheme="minorHAnsi"/>
                <w:b/>
                <w:color w:val="FF0000"/>
                <w:sz w:val="20"/>
                <w:szCs w:val="20"/>
                <w:lang w:val="pl-PL" w:eastAsia="pl-PL" w:bidi="pl-PL"/>
              </w:rPr>
            </w:pPr>
          </w:p>
        </w:tc>
      </w:tr>
      <w:tr w:rsidR="00722228" w:rsidRPr="0012562A" w:rsidTr="008C0DE3">
        <w:trPr>
          <w:trHeight w:val="416"/>
          <w:jc w:val="center"/>
        </w:trPr>
        <w:tc>
          <w:tcPr>
            <w:tcW w:w="1942" w:type="dxa"/>
            <w:shd w:val="clear" w:color="auto" w:fill="D9D9D9"/>
            <w:vAlign w:val="center"/>
          </w:tcPr>
          <w:p w:rsidR="00722228" w:rsidRPr="0012562A" w:rsidRDefault="00722228" w:rsidP="008C0DE3">
            <w:pPr>
              <w:jc w:val="center"/>
              <w:rPr>
                <w:rFonts w:eastAsia="Arial" w:cstheme="minorHAnsi"/>
                <w:b/>
                <w:color w:val="FF0000"/>
                <w:sz w:val="20"/>
                <w:szCs w:val="20"/>
                <w:lang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lastRenderedPageBreak/>
              <w:t>Wykluczenia</w:t>
            </w:r>
          </w:p>
        </w:tc>
        <w:tc>
          <w:tcPr>
            <w:tcW w:w="7269" w:type="dxa"/>
            <w:shd w:val="clear" w:color="auto" w:fill="auto"/>
          </w:tcPr>
          <w:p w:rsidR="00722228" w:rsidRPr="0012562A" w:rsidRDefault="00722228" w:rsidP="008C0DE3">
            <w:pPr>
              <w:ind w:left="113" w:right="113"/>
              <w:jc w:val="both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 xml:space="preserve">W celu uniknięcia konfliktu interesów zamówienia publiczne, udzielane przez Zamawiającego, nie mogą być udzielane podmiotom powiązanym z nim osobowo lub kapitałowo. </w:t>
            </w:r>
          </w:p>
          <w:p w:rsidR="00722228" w:rsidRPr="0012562A" w:rsidRDefault="00722228" w:rsidP="008C0DE3">
            <w:pPr>
              <w:ind w:left="113" w:right="113"/>
              <w:jc w:val="both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jc w:val="both"/>
              <w:outlineLvl w:val="0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Przez powiązania kapitałowe lub osobowe rozumie się wzajemne powiązania między Ostatecznym odbiorcą lub osobami upoważnionymi do zaciągania zobowiązań w imieniu Ostatecznego odbiorcy lub osobami wykonującymi w imieniu Ostatecznego odbiorcy czynności związane z przeprowadzeniem procedury wyboru wykonawcy a wykonawcą, polegające w szczególności na:</w:t>
            </w:r>
          </w:p>
          <w:p w:rsidR="00722228" w:rsidRPr="0012562A" w:rsidRDefault="00722228" w:rsidP="00722228">
            <w:pPr>
              <w:numPr>
                <w:ilvl w:val="0"/>
                <w:numId w:val="18"/>
              </w:numPr>
              <w:jc w:val="both"/>
              <w:outlineLvl w:val="0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uczestniczeniu w spółce jako wspólnik spółki cywilnej lub spółki osobowej,</w:t>
            </w:r>
          </w:p>
          <w:p w:rsidR="00722228" w:rsidRPr="0012562A" w:rsidRDefault="00722228" w:rsidP="00722228">
            <w:pPr>
              <w:numPr>
                <w:ilvl w:val="0"/>
                <w:numId w:val="18"/>
              </w:numPr>
              <w:jc w:val="both"/>
              <w:outlineLvl w:val="0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posiadaniu co najmniej 10% udziałów lub akcji, o ile niższy próg nie wynika z przepisów prawa,</w:t>
            </w:r>
          </w:p>
          <w:p w:rsidR="00722228" w:rsidRPr="0012562A" w:rsidRDefault="00722228" w:rsidP="00722228">
            <w:pPr>
              <w:numPr>
                <w:ilvl w:val="0"/>
                <w:numId w:val="18"/>
              </w:numPr>
              <w:jc w:val="both"/>
              <w:outlineLvl w:val="0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pełnieniu funkcji członka organu nadzorczego lub zarządzającego, prokurenta, pełnomocnika,</w:t>
            </w:r>
          </w:p>
          <w:p w:rsidR="00722228" w:rsidRPr="0012562A" w:rsidRDefault="00722228" w:rsidP="00722228">
            <w:pPr>
              <w:numPr>
                <w:ilvl w:val="0"/>
                <w:numId w:val="18"/>
              </w:numPr>
              <w:jc w:val="both"/>
              <w:outlineLvl w:val="0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pozostawaniu w związku małżeńskim, w stosunku pokrewieństwa lub powinowactwa w linii prostej, pokrewieństwa drugiego stopnia lub powinowactwa drugiego stopnia w linii bocznej lub w stosunku przysposobienia, opieki lub kurateli.</w:t>
            </w:r>
          </w:p>
          <w:p w:rsidR="00722228" w:rsidRPr="0012562A" w:rsidRDefault="00722228" w:rsidP="008C0DE3">
            <w:pPr>
              <w:ind w:left="1080" w:right="113"/>
              <w:jc w:val="both"/>
              <w:rPr>
                <w:rFonts w:eastAsia="Trebuchet MS" w:cstheme="minorHAnsi"/>
                <w:color w:val="FF0000"/>
                <w:sz w:val="20"/>
                <w:szCs w:val="20"/>
                <w:lang w:val="pl-PL" w:eastAsia="pl-PL" w:bidi="pl-PL"/>
              </w:rPr>
            </w:pPr>
          </w:p>
          <w:p w:rsidR="00722228" w:rsidRDefault="00722228" w:rsidP="008C0DE3">
            <w:pPr>
              <w:ind w:left="180" w:right="144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>Zamawiający uzna warunek za spełniony na podstawie Oświadczenia o braku powiązań kapitałowych lub osobowych z Zamawiającym - stanowiącego integralną cześć Załącznika nr 2 do przedmiotowego zapytania ofertowego.</w:t>
            </w:r>
          </w:p>
          <w:p w:rsidR="00722228" w:rsidRDefault="00722228" w:rsidP="008C0DE3">
            <w:pPr>
              <w:ind w:left="180" w:right="144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  <w:p w:rsidR="00722228" w:rsidRPr="00E74477" w:rsidRDefault="00722228" w:rsidP="008C0DE3">
            <w:pPr>
              <w:pStyle w:val="NormalnyWeb"/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val="pl-PL" w:eastAsia="en-US"/>
              </w:rPr>
            </w:pPr>
            <w:r w:rsidRPr="00E74477">
              <w:rPr>
                <w:rFonts w:asciiTheme="minorHAnsi" w:eastAsiaTheme="minorHAnsi" w:hAnsiTheme="minorHAnsi" w:cstheme="minorHAnsi"/>
                <w:sz w:val="20"/>
                <w:szCs w:val="20"/>
                <w:lang w:val="pl-PL" w:eastAsia="en-US"/>
              </w:rPr>
              <w:t xml:space="preserve">"Przedsiębiorstwa powiązane", zgodnie z art. 3 ust. 3 Załącznika I do rozporządzenia Komisji (UE) nr 651/2014, oznaczają przedsiębiorstwa, które pozostają w jednym z poniższych związków: </w:t>
            </w:r>
          </w:p>
          <w:p w:rsidR="00722228" w:rsidRPr="00E74477" w:rsidRDefault="00722228" w:rsidP="00722228">
            <w:pPr>
              <w:pStyle w:val="NormalnyWeb"/>
              <w:widowControl/>
              <w:numPr>
                <w:ilvl w:val="0"/>
                <w:numId w:val="19"/>
              </w:numPr>
              <w:autoSpaceDE/>
              <w:autoSpaceDN/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val="pl-PL" w:eastAsia="en-US"/>
              </w:rPr>
            </w:pPr>
            <w:r w:rsidRPr="00E74477">
              <w:rPr>
                <w:rFonts w:asciiTheme="minorHAnsi" w:eastAsiaTheme="minorHAnsi" w:hAnsiTheme="minorHAnsi" w:cstheme="minorHAnsi"/>
                <w:sz w:val="20"/>
                <w:szCs w:val="20"/>
                <w:lang w:val="pl-PL" w:eastAsia="en-US"/>
              </w:rPr>
              <w:t xml:space="preserve">−  przedsiębiorstwo ma większość praw głosu w innym przedsiębiorstwie w roli udziałowca/akcjonariusza lub członka; </w:t>
            </w:r>
          </w:p>
          <w:p w:rsidR="00722228" w:rsidRPr="00E74477" w:rsidRDefault="00722228" w:rsidP="00722228">
            <w:pPr>
              <w:pStyle w:val="NormalnyWeb"/>
              <w:widowControl/>
              <w:numPr>
                <w:ilvl w:val="0"/>
                <w:numId w:val="19"/>
              </w:numPr>
              <w:autoSpaceDE/>
              <w:autoSpaceDN/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val="pl-PL" w:eastAsia="en-US"/>
              </w:rPr>
            </w:pPr>
            <w:r w:rsidRPr="00E74477">
              <w:rPr>
                <w:rFonts w:asciiTheme="minorHAnsi" w:eastAsiaTheme="minorHAnsi" w:hAnsiTheme="minorHAnsi" w:cstheme="minorHAnsi"/>
                <w:sz w:val="20"/>
                <w:szCs w:val="20"/>
                <w:lang w:val="pl-PL" w:eastAsia="en-US"/>
              </w:rPr>
              <w:t xml:space="preserve">−  przedsiębiorstwo ma prawo wyznaczyć lub odwołać większość członków organu administracyjnego, zarządzającego lub nadzorczego innego przedsiębiorstwa; </w:t>
            </w:r>
          </w:p>
          <w:p w:rsidR="00722228" w:rsidRPr="00E74477" w:rsidRDefault="00722228" w:rsidP="00722228">
            <w:pPr>
              <w:pStyle w:val="NormalnyWeb"/>
              <w:widowControl/>
              <w:numPr>
                <w:ilvl w:val="0"/>
                <w:numId w:val="19"/>
              </w:numPr>
              <w:autoSpaceDE/>
              <w:autoSpaceDN/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val="pl-PL" w:eastAsia="en-US"/>
              </w:rPr>
            </w:pPr>
            <w:r w:rsidRPr="00E74477">
              <w:rPr>
                <w:rFonts w:asciiTheme="minorHAnsi" w:eastAsiaTheme="minorHAnsi" w:hAnsiTheme="minorHAnsi" w:cstheme="minorHAnsi"/>
                <w:sz w:val="20"/>
                <w:szCs w:val="20"/>
                <w:lang w:val="pl-PL" w:eastAsia="en-US"/>
              </w:rPr>
              <w:t xml:space="preserve">−  przedsiębiorstwo ma prawo wywierać dominujący wpływ na inne przedsiębiorstwo na podstawie umowy zawartej z tym przedsiębiorstwem lub postanowień w jego statucie lub umowie spółki; </w:t>
            </w:r>
          </w:p>
          <w:p w:rsidR="00722228" w:rsidRPr="00E74477" w:rsidRDefault="00722228" w:rsidP="00722228">
            <w:pPr>
              <w:pStyle w:val="NormalnyWeb"/>
              <w:widowControl/>
              <w:numPr>
                <w:ilvl w:val="0"/>
                <w:numId w:val="19"/>
              </w:numPr>
              <w:autoSpaceDE/>
              <w:autoSpaceDN/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val="pl-PL" w:eastAsia="en-US"/>
              </w:rPr>
            </w:pPr>
            <w:r w:rsidRPr="00E74477">
              <w:rPr>
                <w:rFonts w:asciiTheme="minorHAnsi" w:eastAsiaTheme="minorHAnsi" w:hAnsiTheme="minorHAnsi" w:cstheme="minorHAnsi"/>
                <w:sz w:val="20"/>
                <w:szCs w:val="20"/>
                <w:lang w:val="pl-PL" w:eastAsia="en-US"/>
              </w:rPr>
              <w:t xml:space="preserve">−  przedsiębiorstwo będące udziałowcem/akcjonariuszem lub członkiem innego przedsiębiorstwa kontroluje samodzielnie, na mocy umowy z innymi udziałowcami/akcjonariuszami lub członkami tego przedsiębiorstwa, większość praw głosu udziałowców/akcjonariuszy lub członków w tym przedsiębiorstwie. </w:t>
            </w:r>
          </w:p>
          <w:p w:rsidR="00722228" w:rsidRPr="0012562A" w:rsidRDefault="00722228" w:rsidP="008C0DE3">
            <w:pPr>
              <w:ind w:left="-180" w:right="144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12562A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:rsidR="00722228" w:rsidRPr="0012562A" w:rsidRDefault="00722228" w:rsidP="008C0DE3">
            <w:pPr>
              <w:ind w:right="144"/>
              <w:jc w:val="both"/>
              <w:rPr>
                <w:rFonts w:cstheme="minorHAnsi"/>
                <w:color w:val="FF0000"/>
                <w:sz w:val="20"/>
                <w:szCs w:val="20"/>
                <w:lang w:val="pl-PL"/>
              </w:rPr>
            </w:pPr>
          </w:p>
        </w:tc>
      </w:tr>
      <w:tr w:rsidR="00722228" w:rsidRPr="0012562A" w:rsidTr="008C0DE3">
        <w:trPr>
          <w:trHeight w:val="558"/>
          <w:jc w:val="center"/>
        </w:trPr>
        <w:tc>
          <w:tcPr>
            <w:tcW w:w="1942" w:type="dxa"/>
            <w:shd w:val="clear" w:color="auto" w:fill="D9D9D9"/>
          </w:tcPr>
          <w:p w:rsidR="00722228" w:rsidRPr="0012562A" w:rsidRDefault="00722228" w:rsidP="008C0DE3">
            <w:pP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spacing w:before="6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left="626" w:right="181" w:hanging="418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lastRenderedPageBreak/>
              <w:t>Warunki zmiany umowy</w:t>
            </w:r>
          </w:p>
        </w:tc>
        <w:tc>
          <w:tcPr>
            <w:tcW w:w="7269" w:type="dxa"/>
            <w:shd w:val="clear" w:color="auto" w:fill="auto"/>
          </w:tcPr>
          <w:p w:rsidR="00722228" w:rsidRPr="0012562A" w:rsidRDefault="00722228" w:rsidP="008C0DE3">
            <w:pPr>
              <w:ind w:left="180" w:right="285"/>
              <w:jc w:val="both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lastRenderedPageBreak/>
              <w:t>Zamawiający zastrzega sobie możliwość zmiany umowy zawartej z podmiotem wybranym w wyniku przeprowadzonego postępowania o udzielenie zamówienia z następujących powodów:</w:t>
            </w:r>
          </w:p>
          <w:p w:rsidR="00722228" w:rsidRPr="0012562A" w:rsidRDefault="00722228" w:rsidP="00722228">
            <w:pPr>
              <w:numPr>
                <w:ilvl w:val="0"/>
                <w:numId w:val="3"/>
              </w:numPr>
              <w:ind w:left="605" w:right="285" w:hanging="284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>uzasadnionych zmian w zakresie sposobu wykonania przedmiotu zamówienia,</w:t>
            </w:r>
          </w:p>
          <w:p w:rsidR="00722228" w:rsidRPr="0012562A" w:rsidRDefault="00722228" w:rsidP="00722228">
            <w:pPr>
              <w:numPr>
                <w:ilvl w:val="0"/>
                <w:numId w:val="3"/>
              </w:numPr>
              <w:ind w:left="605" w:right="285" w:hanging="284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>obiektywnych przyczyn niezależnych od Zamawiającego lub  Oferenta/Wykonawcy,</w:t>
            </w:r>
          </w:p>
          <w:p w:rsidR="00722228" w:rsidRPr="0012562A" w:rsidRDefault="00722228" w:rsidP="00722228">
            <w:pPr>
              <w:numPr>
                <w:ilvl w:val="0"/>
                <w:numId w:val="3"/>
              </w:numPr>
              <w:ind w:left="605" w:right="285" w:hanging="284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>okoliczności o charakterze siły wyższej,</w:t>
            </w:r>
          </w:p>
          <w:p w:rsidR="00722228" w:rsidRPr="0012562A" w:rsidRDefault="00722228" w:rsidP="00722228">
            <w:pPr>
              <w:numPr>
                <w:ilvl w:val="0"/>
                <w:numId w:val="3"/>
              </w:numPr>
              <w:ind w:left="605" w:right="285" w:hanging="284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>zmian regulacji prawnych obowiązujących po dniu zawarcia umowy,</w:t>
            </w:r>
          </w:p>
          <w:p w:rsidR="00722228" w:rsidRPr="0012562A" w:rsidRDefault="00722228" w:rsidP="00722228">
            <w:pPr>
              <w:numPr>
                <w:ilvl w:val="0"/>
                <w:numId w:val="3"/>
              </w:numPr>
              <w:ind w:left="605" w:right="285" w:hanging="284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 xml:space="preserve">otrzymania decyzji Instytucji Pośredniczącej zawierającej zmiany zakresu </w:t>
            </w: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lastRenderedPageBreak/>
              <w:t>zadań, terminów realizacji czy też ustalającej dodatkowe postanowienia, do których Zamawiający zostanie zobowiązany,</w:t>
            </w:r>
          </w:p>
          <w:p w:rsidR="00722228" w:rsidRPr="0012562A" w:rsidRDefault="00722228" w:rsidP="00722228">
            <w:pPr>
              <w:numPr>
                <w:ilvl w:val="0"/>
                <w:numId w:val="3"/>
              </w:numPr>
              <w:ind w:left="605" w:right="285" w:hanging="284"/>
              <w:jc w:val="both"/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Trebuchet MS" w:cstheme="minorHAnsi"/>
                <w:sz w:val="20"/>
                <w:szCs w:val="20"/>
                <w:lang w:val="pl-PL" w:eastAsia="pl-PL" w:bidi="pl-PL"/>
              </w:rPr>
              <w:t>wystąpienia innej okoliczności niemożliwej do przewidzenia w dniu zawarcia umowy uniemożliwiającej wykonanie umowy w określonym pierwotnie terminie lub zakresie.</w:t>
            </w:r>
          </w:p>
          <w:p w:rsidR="00722228" w:rsidRPr="0012562A" w:rsidRDefault="00722228" w:rsidP="008C0DE3">
            <w:pPr>
              <w:ind w:left="180" w:right="285"/>
              <w:jc w:val="both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>Zmiany będą mogły dotyczyć terminu realizacji zamówienia (wydłużenie terminu realizacji zamówienia, ewentualnego wprowadzenia etapowania usług) pod warunkiem uzyskania zgody właściwej Instytucji Pośredniczącej.</w:t>
            </w:r>
          </w:p>
          <w:p w:rsidR="00722228" w:rsidRPr="0012562A" w:rsidRDefault="00722228" w:rsidP="008C0DE3">
            <w:pPr>
              <w:ind w:left="180" w:right="285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left="180" w:right="285"/>
              <w:jc w:val="both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>Zmiany nie mogą prowadzić do zmiany charakteru umowy.</w:t>
            </w:r>
          </w:p>
          <w:p w:rsidR="00722228" w:rsidRPr="0012562A" w:rsidRDefault="00722228" w:rsidP="008C0DE3">
            <w:pPr>
              <w:ind w:left="180" w:right="285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</w:p>
          <w:p w:rsidR="00722228" w:rsidRPr="0012562A" w:rsidRDefault="00722228" w:rsidP="008C0DE3">
            <w:pPr>
              <w:ind w:left="180" w:right="285"/>
              <w:jc w:val="both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 xml:space="preserve">Zmiana umowy jest możliwa, </w:t>
            </w: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 xml:space="preserve">jeżeli obie </w:t>
            </w: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t xml:space="preserve">Strony umowy wyrażą na nią zgodę i wymaga ona aneksu do umowy </w:t>
            </w: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>w formie pisemnej lub w postaci elektronicznej potwierdzonej przez należycie reprezentowanych przedstawicieli stron pod rygorem nieważności.</w:t>
            </w:r>
          </w:p>
        </w:tc>
      </w:tr>
      <w:tr w:rsidR="00722228" w:rsidRPr="0012562A" w:rsidTr="008C0DE3">
        <w:trPr>
          <w:trHeight w:val="558"/>
          <w:jc w:val="center"/>
        </w:trPr>
        <w:tc>
          <w:tcPr>
            <w:tcW w:w="1942" w:type="dxa"/>
            <w:shd w:val="clear" w:color="auto" w:fill="D9D9D9"/>
            <w:vAlign w:val="center"/>
          </w:tcPr>
          <w:p w:rsidR="00722228" w:rsidRPr="0012562A" w:rsidRDefault="00722228" w:rsidP="008C0DE3">
            <w:pPr>
              <w:jc w:val="center"/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b/>
                <w:sz w:val="20"/>
                <w:szCs w:val="20"/>
                <w:lang w:val="pl-PL" w:eastAsia="pl-PL" w:bidi="pl-PL"/>
              </w:rPr>
              <w:lastRenderedPageBreak/>
              <w:t xml:space="preserve">Załączniki </w:t>
            </w:r>
          </w:p>
        </w:tc>
        <w:tc>
          <w:tcPr>
            <w:tcW w:w="7269" w:type="dxa"/>
            <w:shd w:val="clear" w:color="auto" w:fill="auto"/>
          </w:tcPr>
          <w:p w:rsidR="00722228" w:rsidRPr="0012562A" w:rsidRDefault="00722228" w:rsidP="00722228">
            <w:pPr>
              <w:pStyle w:val="Akapitzlist"/>
              <w:numPr>
                <w:ilvl w:val="0"/>
                <w:numId w:val="14"/>
              </w:numPr>
              <w:ind w:right="113"/>
              <w:jc w:val="both"/>
              <w:rPr>
                <w:rFonts w:eastAsia="Arial" w:cstheme="minorHAnsi"/>
                <w:sz w:val="20"/>
                <w:szCs w:val="20"/>
                <w:lang w:val="pl-PL"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 xml:space="preserve">Wzór oferty. </w:t>
            </w:r>
          </w:p>
          <w:p w:rsidR="00722228" w:rsidRPr="0012562A" w:rsidRDefault="00722228" w:rsidP="00722228">
            <w:pPr>
              <w:pStyle w:val="Akapitzlist"/>
              <w:numPr>
                <w:ilvl w:val="0"/>
                <w:numId w:val="14"/>
              </w:numPr>
              <w:ind w:right="113"/>
              <w:jc w:val="both"/>
              <w:rPr>
                <w:rFonts w:eastAsia="Arial" w:cstheme="minorHAnsi"/>
                <w:sz w:val="20"/>
                <w:szCs w:val="20"/>
                <w:lang w:eastAsia="pl-PL" w:bidi="pl-PL"/>
              </w:rPr>
            </w:pPr>
            <w:r w:rsidRPr="0012562A">
              <w:rPr>
                <w:rFonts w:eastAsia="Arial" w:cstheme="minorHAnsi"/>
                <w:sz w:val="20"/>
                <w:szCs w:val="20"/>
                <w:lang w:val="pl-PL" w:eastAsia="pl-PL" w:bidi="pl-PL"/>
              </w:rPr>
              <w:t>Wzór oświadczeń.</w:t>
            </w:r>
            <w:r w:rsidRPr="0012562A">
              <w:rPr>
                <w:rFonts w:eastAsia="Arial" w:cstheme="minorHAnsi"/>
                <w:sz w:val="20"/>
                <w:szCs w:val="20"/>
                <w:lang w:eastAsia="pl-PL" w:bidi="pl-PL"/>
              </w:rPr>
              <w:t xml:space="preserve"> </w:t>
            </w:r>
          </w:p>
        </w:tc>
      </w:tr>
    </w:tbl>
    <w:p w:rsidR="00722228" w:rsidRPr="0012562A" w:rsidRDefault="00722228" w:rsidP="00722228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color w:val="FF0000"/>
          <w:sz w:val="20"/>
          <w:szCs w:val="20"/>
          <w:lang w:eastAsia="pl-PL" w:bidi="pl-PL"/>
        </w:rPr>
      </w:pPr>
    </w:p>
    <w:p w:rsidR="00722228" w:rsidRPr="0012562A" w:rsidRDefault="00722228" w:rsidP="00722228">
      <w:pPr>
        <w:widowControl w:val="0"/>
        <w:autoSpaceDE w:val="0"/>
        <w:autoSpaceDN w:val="0"/>
        <w:spacing w:before="3" w:after="0" w:line="240" w:lineRule="auto"/>
        <w:rPr>
          <w:rFonts w:eastAsia="Arial" w:cstheme="minorHAnsi"/>
          <w:color w:val="FF0000"/>
          <w:sz w:val="20"/>
          <w:szCs w:val="20"/>
          <w:lang w:eastAsia="pl-PL" w:bidi="pl-PL"/>
        </w:rPr>
      </w:pPr>
    </w:p>
    <w:p w:rsidR="00722228" w:rsidRPr="000C7E65" w:rsidRDefault="00722228" w:rsidP="00722228">
      <w:pPr>
        <w:tabs>
          <w:tab w:val="left" w:pos="7404"/>
        </w:tabs>
        <w:rPr>
          <w:rFonts w:eastAsia="Arial" w:cstheme="minorHAnsi"/>
          <w:b/>
          <w:sz w:val="20"/>
          <w:szCs w:val="20"/>
          <w:lang w:eastAsia="pl-PL" w:bidi="pl-PL"/>
        </w:rPr>
      </w:pPr>
      <w:r w:rsidRPr="0012562A">
        <w:rPr>
          <w:rFonts w:eastAsia="Arial" w:cstheme="minorHAnsi"/>
          <w:b/>
          <w:sz w:val="20"/>
          <w:szCs w:val="20"/>
          <w:lang w:eastAsia="pl-PL" w:bidi="pl-PL"/>
        </w:rPr>
        <w:t xml:space="preserve">MARDRUK OPAKOWANIA Sp. z o.o. Sp.K., </w:t>
      </w:r>
      <w:r>
        <w:rPr>
          <w:rFonts w:eastAsia="Arial" w:cstheme="minorHAnsi"/>
          <w:b/>
          <w:sz w:val="20"/>
          <w:szCs w:val="20"/>
          <w:lang w:eastAsia="pl-PL" w:bidi="pl-PL"/>
        </w:rPr>
        <w:t>30</w:t>
      </w:r>
      <w:r w:rsidRPr="0012562A">
        <w:rPr>
          <w:rFonts w:eastAsia="Arial" w:cstheme="minorHAnsi"/>
          <w:b/>
          <w:sz w:val="20"/>
          <w:szCs w:val="20"/>
          <w:lang w:eastAsia="pl-PL" w:bidi="pl-PL"/>
        </w:rPr>
        <w:t>.0</w:t>
      </w:r>
      <w:r>
        <w:rPr>
          <w:rFonts w:eastAsia="Arial" w:cstheme="minorHAnsi"/>
          <w:b/>
          <w:sz w:val="20"/>
          <w:szCs w:val="20"/>
          <w:lang w:eastAsia="pl-PL" w:bidi="pl-PL"/>
        </w:rPr>
        <w:t>6</w:t>
      </w:r>
      <w:r w:rsidRPr="0012562A">
        <w:rPr>
          <w:rFonts w:eastAsia="Arial" w:cstheme="minorHAnsi"/>
          <w:b/>
          <w:sz w:val="20"/>
          <w:szCs w:val="20"/>
          <w:lang w:eastAsia="pl-PL" w:bidi="pl-PL"/>
        </w:rPr>
        <w:t xml:space="preserve">.2023 r. </w:t>
      </w:r>
    </w:p>
    <w:p w:rsidR="00261FCC" w:rsidRDefault="00261FCC">
      <w:bookmarkStart w:id="0" w:name="_GoBack"/>
      <w:bookmarkEnd w:id="0"/>
    </w:p>
    <w:sectPr w:rsidR="00261F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509883366"/>
      <w:docPartObj>
        <w:docPartGallery w:val="Page Numbers (Bottom of Page)"/>
        <w:docPartUnique/>
      </w:docPartObj>
    </w:sdtPr>
    <w:sdtEndPr/>
    <w:sdtContent>
      <w:p w:rsidR="007F3E57" w:rsidRPr="00696CEE" w:rsidRDefault="00722228" w:rsidP="00696CEE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96CE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96CE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7F3E57" w:rsidRDefault="00722228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E57" w:rsidRDefault="00722228">
    <w:pPr>
      <w:pStyle w:val="Nagwek"/>
    </w:pPr>
  </w:p>
  <w:p w:rsidR="007F3E57" w:rsidRDefault="00722228" w:rsidP="007E1022">
    <w:pPr>
      <w:pStyle w:val="Nagwek"/>
      <w:jc w:val="center"/>
    </w:pPr>
    <w:r w:rsidRPr="000B4D62">
      <w:rPr>
        <w:rFonts w:ascii="Times New Roman" w:eastAsia="Times New Roman" w:hAnsi="Times New Roman"/>
        <w:noProof/>
        <w:sz w:val="24"/>
        <w:szCs w:val="24"/>
        <w:lang w:bidi="ar-SA"/>
      </w:rPr>
      <w:drawing>
        <wp:inline distT="0" distB="0" distL="0" distR="0" wp14:anchorId="215CE53B" wp14:editId="03D2DCF5">
          <wp:extent cx="5760720" cy="934720"/>
          <wp:effectExtent l="0" t="0" r="508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4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3E57" w:rsidRDefault="00722228" w:rsidP="007E10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A84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5A76"/>
    <w:multiLevelType w:val="hybridMultilevel"/>
    <w:tmpl w:val="696820AC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0903DF"/>
    <w:multiLevelType w:val="hybridMultilevel"/>
    <w:tmpl w:val="CE4018D6"/>
    <w:lvl w:ilvl="0" w:tplc="3A1C9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C1C3A"/>
    <w:multiLevelType w:val="hybridMultilevel"/>
    <w:tmpl w:val="41B65FF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B5968DF"/>
    <w:multiLevelType w:val="hybridMultilevel"/>
    <w:tmpl w:val="132AB450"/>
    <w:lvl w:ilvl="0" w:tplc="283877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663CE"/>
    <w:multiLevelType w:val="multilevel"/>
    <w:tmpl w:val="353E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D5D2B"/>
    <w:multiLevelType w:val="hybridMultilevel"/>
    <w:tmpl w:val="F0A0D1B4"/>
    <w:lvl w:ilvl="0" w:tplc="FB4EA6C6">
      <w:start w:val="1"/>
      <w:numFmt w:val="bullet"/>
      <w:lvlText w:val=""/>
      <w:lvlJc w:val="left"/>
      <w:pPr>
        <w:ind w:left="1069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8BC41A0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F02CB"/>
    <w:multiLevelType w:val="hybridMultilevel"/>
    <w:tmpl w:val="B4B4E494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B0927096">
      <w:start w:val="1"/>
      <w:numFmt w:val="lowerLetter"/>
      <w:lvlText w:val="%2.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7C41D0"/>
    <w:multiLevelType w:val="hybridMultilevel"/>
    <w:tmpl w:val="AFBA2046"/>
    <w:lvl w:ilvl="0" w:tplc="8A7AD9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55CE8"/>
    <w:multiLevelType w:val="hybridMultilevel"/>
    <w:tmpl w:val="D7E64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6485"/>
    <w:multiLevelType w:val="hybridMultilevel"/>
    <w:tmpl w:val="B9CC7E38"/>
    <w:lvl w:ilvl="0" w:tplc="5FE2E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C40E5"/>
    <w:multiLevelType w:val="hybridMultilevel"/>
    <w:tmpl w:val="DD6AC0BA"/>
    <w:lvl w:ilvl="0" w:tplc="31AE4016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3185C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C1BE6"/>
    <w:multiLevelType w:val="hybridMultilevel"/>
    <w:tmpl w:val="B3B22764"/>
    <w:lvl w:ilvl="0" w:tplc="6E0062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90582"/>
    <w:multiLevelType w:val="hybridMultilevel"/>
    <w:tmpl w:val="CD50F21A"/>
    <w:lvl w:ilvl="0" w:tplc="2838775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5F22A8"/>
    <w:multiLevelType w:val="hybridMultilevel"/>
    <w:tmpl w:val="1F0C68CE"/>
    <w:lvl w:ilvl="0" w:tplc="FDAAED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363FE"/>
    <w:multiLevelType w:val="hybridMultilevel"/>
    <w:tmpl w:val="8C5643FA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6090001"/>
    <w:multiLevelType w:val="multilevel"/>
    <w:tmpl w:val="8A66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9"/>
  </w:num>
  <w:num w:numId="6">
    <w:abstractNumId w:val="16"/>
  </w:num>
  <w:num w:numId="7">
    <w:abstractNumId w:val="10"/>
  </w:num>
  <w:num w:numId="8">
    <w:abstractNumId w:val="8"/>
  </w:num>
  <w:num w:numId="9">
    <w:abstractNumId w:val="15"/>
  </w:num>
  <w:num w:numId="10">
    <w:abstractNumId w:val="0"/>
  </w:num>
  <w:num w:numId="11">
    <w:abstractNumId w:val="17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4"/>
  </w:num>
  <w:num w:numId="17">
    <w:abstractNumId w:val="2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28"/>
    <w:rsid w:val="00261FCC"/>
    <w:rsid w:val="00722228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CA7F5-A930-4ADE-919B-D6620C96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222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2228"/>
    <w:rPr>
      <w:rFonts w:ascii="Arial" w:eastAsia="Arial" w:hAnsi="Arial" w:cs="Arial"/>
      <w:sz w:val="20"/>
      <w:szCs w:val="20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722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2222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722228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2222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722228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7222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228"/>
  </w:style>
  <w:style w:type="character" w:styleId="Hipercze">
    <w:name w:val="Hyperlink"/>
    <w:basedOn w:val="Domylnaczcionkaakapitu"/>
    <w:uiPriority w:val="99"/>
    <w:unhideWhenUsed/>
    <w:rsid w:val="00722228"/>
    <w:rPr>
      <w:color w:val="0563C1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22228"/>
    <w:rPr>
      <w:i/>
      <w:iCs/>
      <w:color w:val="5B9BD5" w:themeColor="accent1"/>
    </w:rPr>
  </w:style>
  <w:style w:type="paragraph" w:styleId="NormalnyWeb">
    <w:name w:val="Normal (Web)"/>
    <w:basedOn w:val="Normalny"/>
    <w:uiPriority w:val="99"/>
    <w:unhideWhenUsed/>
    <w:rsid w:val="0072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jciech@mardrukopakowa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zysztof@mardrukopakowania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cin@mardrukopakowani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2630</Words>
  <Characters>15781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2023-06-30T12:40:00Z</dcterms:created>
  <dcterms:modified xsi:type="dcterms:W3CDTF">2023-06-30T12:41:00Z</dcterms:modified>
</cp:coreProperties>
</file>